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仿宋_GB2312" w:hAnsi="宋体" w:eastAsia="仿宋_GB2312"/>
          <w:color w:val="auto"/>
          <w:sz w:val="24"/>
        </w:rPr>
      </w:pPr>
      <w:r>
        <w:rPr>
          <w:rFonts w:hint="eastAsia" w:ascii="方正小标宋简体" w:eastAsia="方正小标宋简体"/>
          <w:color w:val="auto"/>
          <w:sz w:val="44"/>
          <w:szCs w:val="44"/>
          <w:lang w:eastAsia="zh-CN"/>
        </w:rPr>
        <w:t>自治区级</w:t>
      </w:r>
      <w:r>
        <w:rPr>
          <w:rFonts w:hint="eastAsia" w:ascii="方正小标宋简体" w:eastAsia="方正小标宋简体"/>
          <w:color w:val="auto"/>
          <w:sz w:val="44"/>
          <w:szCs w:val="44"/>
        </w:rPr>
        <w:t>绿色商场（超市）评分表</w:t>
      </w:r>
    </w:p>
    <w:tbl>
      <w:tblPr>
        <w:tblStyle w:val="4"/>
        <w:tblW w:w="13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10"/>
        <w:gridCol w:w="5670"/>
        <w:gridCol w:w="456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序号</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项目</w:t>
            </w:r>
          </w:p>
        </w:tc>
        <w:tc>
          <w:tcPr>
            <w:tcW w:w="5670" w:type="dxa"/>
            <w:noWrap w:val="0"/>
            <w:vAlign w:val="center"/>
          </w:tcPr>
          <w:p>
            <w:pPr>
              <w:autoSpaceDE w:val="0"/>
              <w:autoSpaceDN w:val="0"/>
              <w:adjustRightInd w:val="0"/>
              <w:spacing w:line="300"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评分要求</w:t>
            </w:r>
          </w:p>
        </w:tc>
        <w:tc>
          <w:tcPr>
            <w:tcW w:w="4562" w:type="dxa"/>
            <w:noWrap w:val="0"/>
            <w:vAlign w:val="center"/>
          </w:tcPr>
          <w:p>
            <w:pPr>
              <w:autoSpaceDE w:val="0"/>
              <w:autoSpaceDN w:val="0"/>
              <w:adjustRightInd w:val="0"/>
              <w:spacing w:line="300"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评分说明</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30" w:type="dxa"/>
            <w:gridSpan w:val="4"/>
            <w:noWrap w:val="0"/>
            <w:vAlign w:val="center"/>
          </w:tcPr>
          <w:p>
            <w:pPr>
              <w:autoSpaceDE w:val="0"/>
              <w:autoSpaceDN w:val="0"/>
              <w:adjustRightInd w:val="0"/>
              <w:spacing w:line="300" w:lineRule="exact"/>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一、基础管理</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788" w:type="dxa"/>
            <w:vMerge w:val="restart"/>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710" w:type="dxa"/>
            <w:vMerge w:val="restart"/>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企业相关资质与制度建设。</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1.门店所属法人企业相关经营证照（含工商营业执照、组织机构代码证和税务登记证等）合法有效；（否决项）</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2.门店开业及年检消防验收合格；（否决项）</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3.门店在用强制检验设备（电梯、锅炉、压力容器等）年度检验合格，设备操作人员具有相应上岗资格证；（否决项）</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4.门店污水排放得到当地市政等主管部门书面许可，所委托垃圾清运单位具有相应垃圾处理资质；</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5.门店入驻餐饮商户具有相应的卫生许可资质和必要的卫生等级能力，食品加工人员具有相应上岗资格证。</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1.查看是否具备相关资质。应包括各种证照，环保、健康、安全等相关制度文件。持续改进环境绩效，遵守商场（超市）建设和运营中涉及的环保、节能、卫生、防疫、安全、规划等法律法规要求；</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2.1-3项任何一项不满足，则不得参与申报评选。</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p>
        </w:tc>
        <w:tc>
          <w:tcPr>
            <w:tcW w:w="1710" w:type="dxa"/>
            <w:vMerge w:val="continue"/>
            <w:noWrap w:val="0"/>
            <w:vAlign w:val="center"/>
          </w:tcPr>
          <w:p>
            <w:pPr>
              <w:autoSpaceDE w:val="0"/>
              <w:autoSpaceDN w:val="0"/>
              <w:adjustRightInd w:val="0"/>
              <w:spacing w:line="300" w:lineRule="exact"/>
              <w:rPr>
                <w:rFonts w:hint="eastAsia" w:ascii="仿宋_GB2312" w:hAnsi="仿宋_GB2312" w:eastAsia="仿宋_GB2312" w:cs="仿宋_GB2312"/>
                <w:color w:val="auto"/>
                <w:kern w:val="0"/>
                <w:sz w:val="24"/>
              </w:rPr>
            </w:pP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1.制定了主要设备设施管理标准等制度文件，包含空调、冷冻冷藏、给排水、供配电、电梯、建筑维修管理等；</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2.制定了企业健康与安全管理标准等制度文件；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3.制定了节能减排管理标准等制度文件，包含节能、节水、节材、绿化等；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4.制定了提供绿色服务的制度或标准，包括减少过度包装、限塑、绿色供应链建设等。</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1.查看是否具有设备设施管理类制度文件和降低资源消耗类制度文件；</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2.查看制度文件是否对生产安全、食品安全、节能环保等做出明确要求。</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p>
        </w:tc>
        <w:tc>
          <w:tcPr>
            <w:tcW w:w="1710" w:type="dxa"/>
            <w:vMerge w:val="continue"/>
            <w:noWrap w:val="0"/>
            <w:vAlign w:val="center"/>
          </w:tcPr>
          <w:p>
            <w:pPr>
              <w:autoSpaceDE w:val="0"/>
              <w:autoSpaceDN w:val="0"/>
              <w:adjustRightInd w:val="0"/>
              <w:spacing w:line="300" w:lineRule="exact"/>
              <w:rPr>
                <w:rFonts w:hint="eastAsia" w:ascii="仿宋_GB2312" w:hAnsi="仿宋_GB2312" w:eastAsia="仿宋_GB2312" w:cs="仿宋_GB2312"/>
                <w:color w:val="auto"/>
                <w:kern w:val="0"/>
                <w:sz w:val="24"/>
              </w:rPr>
            </w:pP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1.有消防安全应急预案和演练记录；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2.有停电、停水、电梯突发事件、燃气突发事件等维持商场正常运营的紧急预案；</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3.定期对员工/促销员进行安全、节能、环保和卫生方面的培训；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4.企业办公场所环境整洁、干净、卫生，节约习惯良好。</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1.查看消防安全应急预案和演练记录；</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2.查看停电、停水、电梯突发事件、燃气突发事件等维持商场正常运营的紧急预案；</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3.查看培训记录，并随机采访企业员工/促销员，了解培训情况和效果；</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4.查看办公场所环境是否整洁，是否存在水、电、纸张、照明浪费等问题。</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能源计量器具</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1.按照GB/T17167的基本要求，门店配备足够的能源计量器具，配备率不低于95%，现场在用的能源计量器具均正常工作；</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2.对用能单位能源消耗进行单独计量；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3.能源计量设备维护保养记录完整；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4.计量设备检定和校准记录完整。</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1.通过采购记录初步判断能源计量器具是否完备；</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2.通过统计数据初步判断能源计量设备是否正常工作；</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3.查看用能单位能耗计量器具和计量结果；</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4.查看能源计量设备维护保养、检定和校准记录。</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节能和技改专项资金</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1.企业年度预算资金中包含设备维保、节能技改和节能宣传等费用；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2.建立能源消耗数据和奖惩内部公示制度。</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1.了解企业节能资金安排情况；</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2.了解企业能耗数据和奖惩管理措施的内部公示情况。</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资产设备与能耗管理</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1.创建门店资产设备清单/主要耗能设备清单、维保合同完备；包括照明/空调/采暖/冷冻冷藏/电梯/生鲜加工/热水/其他区域及设备能耗等；</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2.本年度能耗预算及执行情况良好；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3.能耗月度回顾与改进措施有效。</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查看设备清单与能耗统计追踪文件、维保合同。</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绿色运营的组织实施</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1.成立企业管理者牵头的绿色运营机构，明确专职管理人员协调落实相关工作；</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2.具有包括垃圾管理制度在内的相关管理制度、操作规范，建立能源管理系统运行维护培训计划，并组织全员培训、考核；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3.每年组织“绿色、环保、健康”为主题的营销活动不少于2次；组织员工、供应商和消费者开展植树、扶贫、助残等公益活动不少于2次。</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查看相关制度文件、活动宣传资料，查看垃圾处理是否规范。</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730" w:type="dxa"/>
            <w:gridSpan w:val="4"/>
            <w:noWrap w:val="0"/>
            <w:vAlign w:val="center"/>
          </w:tcPr>
          <w:p>
            <w:pPr>
              <w:autoSpaceDE w:val="0"/>
              <w:autoSpaceDN w:val="0"/>
              <w:adjustRightInd w:val="0"/>
              <w:spacing w:line="300" w:lineRule="exact"/>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二、设施设备</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商场（超市）建筑及结构维护</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1.商场选址应符合所在地的城乡规划，且应符合各类保护区、文物古迹保护的建设控制要求；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2.商场周边应有自然灾害风险防范措施，且无重大危险源；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3.商场建筑不应降低周边有日照要求建筑的日照标准；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4.商场周边或地下设有机动车停车位和非机动车停车位；</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5.商场建筑设计、构造设计和二次装修时应有促进自然采光和自然通风的措施；商场装修时宜采用灵活隔断，减少重新装修时的材料浪费和建筑垃圾；</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6.商场建筑场地内人行通道应采用无障碍设计，且与商场外人行通道无障碍连通。</w:t>
            </w:r>
          </w:p>
        </w:tc>
        <w:tc>
          <w:tcPr>
            <w:tcW w:w="45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1.查看项目规划许可证、商场位置及周边环境；</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2.查看商场周边是否有应急避难场所和重大危险源；</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3.查看商场机动车和非机动车停车位设置情况；</w:t>
            </w:r>
          </w:p>
          <w:p>
            <w:pPr>
              <w:pStyle w:val="6"/>
              <w:keepNext w:val="0"/>
              <w:keepLines w:val="0"/>
              <w:pageBreakBefore w:val="0"/>
              <w:widowControl w:val="0"/>
              <w:kinsoku/>
              <w:wordWrap/>
              <w:overflowPunct/>
              <w:topLinePunct w:val="0"/>
              <w:bidi w:val="0"/>
              <w:snapToGrid w:val="0"/>
              <w:spacing w:line="280" w:lineRule="exact"/>
              <w:ind w:firstLine="0" w:firstLineChars="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4.根据商场建筑年代查看改造调整情况、现场查看商场中庭设计情况、室内空间布局是否合理，动线设计是否利于人员流动；</w:t>
            </w:r>
          </w:p>
          <w:p>
            <w:pPr>
              <w:keepNext w:val="0"/>
              <w:keepLines w:val="0"/>
              <w:pageBreakBefore w:val="0"/>
              <w:widowControl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5.查看商场装修材料和风格；商场可变换功能的大空间是否采用可重复利用的建材；</w:t>
            </w:r>
          </w:p>
          <w:p>
            <w:pPr>
              <w:pStyle w:val="6"/>
              <w:keepNext w:val="0"/>
              <w:keepLines w:val="0"/>
              <w:pageBreakBefore w:val="0"/>
              <w:widowControl w:val="0"/>
              <w:kinsoku/>
              <w:wordWrap/>
              <w:overflowPunct/>
              <w:topLinePunct w:val="0"/>
              <w:bidi w:val="0"/>
              <w:snapToGrid w:val="0"/>
              <w:spacing w:line="280" w:lineRule="exact"/>
              <w:ind w:firstLine="0" w:firstLineChars="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6.查看无障碍通道设计和使用情况。</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w:t>
            </w:r>
          </w:p>
        </w:tc>
        <w:tc>
          <w:tcPr>
            <w:tcW w:w="1710" w:type="dxa"/>
            <w:noWrap w:val="0"/>
            <w:vAlign w:val="center"/>
          </w:tcPr>
          <w:p>
            <w:pPr>
              <w:pStyle w:val="6"/>
              <w:spacing w:line="300" w:lineRule="exact"/>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照明设备</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1.门店应按照GB50034的要求采用能效较高的照明设备，结合经营需要合理布置分区一般照明、局部照明、重点照明、值班照明和应急照明（含疏散照明、安全照明、备用照明）；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2.对照明光源等装置定期进行检查、清洁和维修，确保无损坏、无灭失、无明显色衰；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3.应采用能源效率达标达到2级以上的高效照明设备并配备智能控制系统。</w:t>
            </w:r>
          </w:p>
        </w:tc>
        <w:tc>
          <w:tcPr>
            <w:tcW w:w="4562" w:type="dxa"/>
            <w:noWrap w:val="0"/>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280" w:lineRule="exact"/>
              <w:ind w:firstLine="0" w:firstLineChars="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1.查看商场光源设置情况，根据GB 50034相关要求对商场光源效率或效能进行检查；</w:t>
            </w:r>
          </w:p>
          <w:p>
            <w:pPr>
              <w:pStyle w:val="6"/>
              <w:keepNext w:val="0"/>
              <w:keepLines w:val="0"/>
              <w:pageBreakBefore w:val="0"/>
              <w:widowControl w:val="0"/>
              <w:kinsoku/>
              <w:wordWrap/>
              <w:overflowPunct/>
              <w:topLinePunct w:val="0"/>
              <w:autoSpaceDE w:val="0"/>
              <w:autoSpaceDN w:val="0"/>
              <w:bidi w:val="0"/>
              <w:adjustRightInd w:val="0"/>
              <w:snapToGrid w:val="0"/>
              <w:spacing w:line="280" w:lineRule="exact"/>
              <w:ind w:firstLine="0" w:firstLineChars="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2.查看照明质量检测报告；</w:t>
            </w:r>
          </w:p>
          <w:p>
            <w:pPr>
              <w:pStyle w:val="6"/>
              <w:keepNext w:val="0"/>
              <w:keepLines w:val="0"/>
              <w:pageBreakBefore w:val="0"/>
              <w:widowControl w:val="0"/>
              <w:kinsoku/>
              <w:wordWrap/>
              <w:overflowPunct/>
              <w:topLinePunct w:val="0"/>
              <w:autoSpaceDE w:val="0"/>
              <w:autoSpaceDN w:val="0"/>
              <w:bidi w:val="0"/>
              <w:adjustRightInd w:val="0"/>
              <w:snapToGrid w:val="0"/>
              <w:spacing w:line="280" w:lineRule="exact"/>
              <w:ind w:firstLine="0" w:firstLineChars="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3.查看室内公区智能照明控制系统设置及运行情况。</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8</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暖通空调设备</w:t>
            </w:r>
          </w:p>
        </w:tc>
        <w:tc>
          <w:tcPr>
            <w:tcW w:w="567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1.冷热源应安装集中优化控制系统，合理采用水循环热泵空调系统或热回收型冷水机组等系统和设备，并回收余热废热；</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2.采取措施降低商场在过渡季节以及部分冷热负荷和部分空间使用下的供暖、通风与空调系统能耗；</w:t>
            </w:r>
          </w:p>
          <w:p>
            <w:pPr>
              <w:pStyle w:val="6"/>
              <w:keepNext w:val="0"/>
              <w:keepLines w:val="0"/>
              <w:pageBreakBefore w:val="0"/>
              <w:widowControl w:val="0"/>
              <w:kinsoku/>
              <w:wordWrap/>
              <w:overflowPunct/>
              <w:topLinePunct w:val="0"/>
              <w:bidi w:val="0"/>
              <w:snapToGrid w:val="0"/>
              <w:spacing w:line="280" w:lineRule="exact"/>
              <w:ind w:firstLine="0" w:firstLineChars="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3.将空调冷源、水泵、冷塔、全空气空调末端纳入楼控系统； </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4.将新风系统和送排风系统纳入楼控系统。</w:t>
            </w:r>
          </w:p>
        </w:tc>
        <w:tc>
          <w:tcPr>
            <w:tcW w:w="4562" w:type="dxa"/>
            <w:noWrap w:val="0"/>
            <w:vAlign w:val="center"/>
          </w:tcPr>
          <w:p>
            <w:pPr>
              <w:keepNext w:val="0"/>
              <w:keepLines w:val="0"/>
              <w:pageBreakBefore w:val="0"/>
              <w:widowControl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1.查看空调冷热水系统循环水泵的节能方式（未采用集中空调系统或无余热利用需求则本项目不考察）；</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2.合理选配空调冷热源机组台数与容量，制定实施根据符合变化调节制冷（热）量的控制策略；</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3．根据商场营业需要及空调冷热源系统设置情况判断冷热源选型配置是否合理；</w:t>
            </w:r>
          </w:p>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4.查看空调控制系统。</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电梯设备</w:t>
            </w:r>
          </w:p>
        </w:tc>
        <w:tc>
          <w:tcPr>
            <w:tcW w:w="5670"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1.载客占比不超过50%的商场扶手电梯应加装变频变载感应装置； </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2.商场扶手电梯现场运行良好，无明显安全隐患； </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3.商场扶手电梯定期巡检，确保其安全运行；</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4.商场扶手电梯定期维保，确保其安全运行。</w:t>
            </w:r>
          </w:p>
        </w:tc>
        <w:tc>
          <w:tcPr>
            <w:tcW w:w="4562"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1.查看扶手电梯变频控制措施；</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2.现场查看扶手电梯运行状态；</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3.查阅扶手电梯巡检记录；</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4.查阅扶手电梯维保记录。</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冷冻冷藏设备</w:t>
            </w:r>
          </w:p>
        </w:tc>
        <w:tc>
          <w:tcPr>
            <w:tcW w:w="5670"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1.冷冻冷藏主机房靠近冷柜、冷库位置设计，应减少高差，冷凝器位置与冷冻冷藏主机房选择最近位置安装，远离其它热源；冷库底部应作隔热处理；</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2.商场制冷系统中环保型制冷剂的使用比率不低于80%，采用低温室效应的制冷剂和冰蓄冷技术、优化制冷系统设计和制冷剂管理模式，定期对制冷系统进行维护和维修，减少制冷剂泄漏。</w:t>
            </w:r>
          </w:p>
        </w:tc>
        <w:tc>
          <w:tcPr>
            <w:tcW w:w="4562" w:type="dxa"/>
            <w:noWrap w:val="0"/>
            <w:vAlign w:val="center"/>
          </w:tcPr>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1.现场查看商场冷冻冷藏主机房和冷库设计情况；</w:t>
            </w:r>
          </w:p>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2.查看制冷系统使用中节能环保情况；若冷柜/冷库建设管理方非申报单位或项目，以及未设置冷柜/冷库，本条不考察。</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11</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给排水设备</w:t>
            </w:r>
          </w:p>
        </w:tc>
        <w:tc>
          <w:tcPr>
            <w:tcW w:w="5670"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1.应采取合理的节水措施，非常规水源利用率不低于5%；</w:t>
            </w:r>
          </w:p>
          <w:p>
            <w:pPr>
              <w:keepNext w:val="0"/>
              <w:keepLines w:val="0"/>
              <w:pageBreakBefore w:val="0"/>
              <w:kinsoku/>
              <w:wordWrap/>
              <w:overflowPunct/>
              <w:topLinePunct w:val="0"/>
              <w:autoSpaceDE w:val="0"/>
              <w:autoSpaceDN w:val="0"/>
              <w:bidi w:val="0"/>
              <w:adjustRightInd w:val="0"/>
              <w:snapToGrid w:val="0"/>
              <w:spacing w:line="280" w:lineRule="exac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2.设有冷却塔平衡管，降低冷却水量浪费；</w:t>
            </w:r>
          </w:p>
          <w:p>
            <w:pPr>
              <w:keepNext w:val="0"/>
              <w:keepLines w:val="0"/>
              <w:pageBreakBefore w:val="0"/>
              <w:widowControl/>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3.室外道路、商业广场、地下车库等地方冲洗采用高压水枪或者专业洗地车等节水措施； </w:t>
            </w:r>
          </w:p>
          <w:p>
            <w:pPr>
              <w:keepNext w:val="0"/>
              <w:keepLines w:val="0"/>
              <w:pageBreakBefore w:val="0"/>
              <w:widowControl/>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4.门店公区卫生间大便器、小便器、盥洗池等均为节水型器具；</w:t>
            </w:r>
          </w:p>
          <w:p>
            <w:pPr>
              <w:keepNext w:val="0"/>
              <w:keepLines w:val="0"/>
              <w:pageBreakBefore w:val="0"/>
              <w:widowControl/>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5.室外绿化采用喷灌、微喷灌等节水灌溉方式；</w:t>
            </w:r>
          </w:p>
          <w:p>
            <w:pPr>
              <w:keepNext w:val="0"/>
              <w:keepLines w:val="0"/>
              <w:pageBreakBefore w:val="0"/>
              <w:widowControl/>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6.用水区（尤其是非感应式水龙头）显著位置长期设置节水提示。</w:t>
            </w:r>
          </w:p>
        </w:tc>
        <w:tc>
          <w:tcPr>
            <w:tcW w:w="4562" w:type="dxa"/>
            <w:noWrap w:val="0"/>
            <w:vAlign w:val="center"/>
          </w:tcPr>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1.查看水网设备和使用情况，查看给水系统减压阀设置，现场查看给水系统水压情况（给水系统采取避免超压出流的措施，除有特殊要求的用水点，一般用水点给水压力应不超过0.3MPa）；</w:t>
            </w:r>
          </w:p>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2.查看冷却塔平衡管设置，查看冷却水水处理措施；</w:t>
            </w:r>
          </w:p>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3.查看地下车库、室外道路、商业广场、门店冲洗方式；</w:t>
            </w:r>
          </w:p>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4.查看卫生器具节水方式和效果；</w:t>
            </w:r>
          </w:p>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5.查看室外绿化灌溉采用的方式；</w:t>
            </w:r>
          </w:p>
          <w:p>
            <w:pPr>
              <w:keepNext w:val="0"/>
              <w:keepLines w:val="0"/>
              <w:pageBreakBefore w:val="0"/>
              <w:kinsoku/>
              <w:wordWrap/>
              <w:overflowPunct/>
              <w:topLinePunct w:val="0"/>
              <w:bidi w:val="0"/>
              <w:snapToGrid w:val="0"/>
              <w:spacing w:line="280" w:lineRule="exact"/>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6.查看用水区是否设有节水提示。</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730" w:type="dxa"/>
            <w:gridSpan w:val="4"/>
            <w:noWrap w:val="0"/>
            <w:vAlign w:val="center"/>
          </w:tcPr>
          <w:p>
            <w:pPr>
              <w:autoSpaceDE w:val="0"/>
              <w:autoSpaceDN w:val="0"/>
              <w:adjustRightInd w:val="0"/>
              <w:spacing w:line="300" w:lineRule="exact"/>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三、绿色供应链</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绿色采购</w:t>
            </w:r>
          </w:p>
        </w:tc>
        <w:tc>
          <w:tcPr>
            <w:tcW w:w="5670"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1.采购产品和选择供应商应符合商务部等部门颁布的《企业绿色采购指南》有关要求，并满足GB/T 19001中的采购要求；</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2.与供应商或入住商户的合作协议中有食品安全、生产安全和节能环保的要求以及所遵守的法规标准；</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3.对入住商户所提供的商品或服务进行考察评价，向入驻商户索取相应资质证件并存档；</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4.商品或服务源头采购，与生产基地建立稳定产销关系；</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5.商场（超市）经营场所使用的能耗设备属于国家鼓励类产品的比例不低于10%，商场（超市）办公场所使用的能耗设备属于国家鼓励类产品的比例不低于10%；</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6.商场对入住商户销售的能效三级以上的产品比例提出要求。</w:t>
            </w:r>
          </w:p>
        </w:tc>
        <w:tc>
          <w:tcPr>
            <w:tcW w:w="4562" w:type="dxa"/>
            <w:noWrap w:val="0"/>
            <w:vAlign w:val="center"/>
          </w:tcPr>
          <w:p>
            <w:pPr>
              <w:widowControl/>
              <w:snapToGrid w:val="0"/>
              <w:spacing w:line="28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1.查看与供应商和入住商户的合作协议及相关条款；</w:t>
            </w:r>
          </w:p>
          <w:p>
            <w:pPr>
              <w:widowControl/>
              <w:snapToGrid w:val="0"/>
              <w:spacing w:line="28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2.查看每项设备的型号和能耗水平，评估节能水平；</w:t>
            </w:r>
          </w:p>
          <w:p>
            <w:pPr>
              <w:widowControl/>
              <w:snapToGrid w:val="0"/>
              <w:spacing w:line="28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3.查看相应管理制度条款和销售情况。</w:t>
            </w:r>
          </w:p>
        </w:tc>
        <w:tc>
          <w:tcPr>
            <w:tcW w:w="961" w:type="dxa"/>
            <w:noWrap w:val="0"/>
            <w:vAlign w:val="center"/>
          </w:tcPr>
          <w:p>
            <w:pPr>
              <w:widowControl/>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绿色物流</w:t>
            </w:r>
          </w:p>
        </w:tc>
        <w:tc>
          <w:tcPr>
            <w:tcW w:w="5670"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1.建立智能化的物流系统，物流车辆尾气排放应不低于相应国家标准；</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2.在仓储和物流运输等环节推行节能减排的措施。</w:t>
            </w:r>
          </w:p>
        </w:tc>
        <w:tc>
          <w:tcPr>
            <w:tcW w:w="4562"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1.查看相应文件制度或合作协议条款；</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2.查看仓储物流实际效果。</w:t>
            </w:r>
          </w:p>
        </w:tc>
        <w:tc>
          <w:tcPr>
            <w:tcW w:w="961" w:type="dxa"/>
            <w:noWrap w:val="0"/>
            <w:vAlign w:val="center"/>
          </w:tcPr>
          <w:p>
            <w:pPr>
              <w:widowControl/>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14</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绿色生产和包装</w:t>
            </w:r>
          </w:p>
        </w:tc>
        <w:tc>
          <w:tcPr>
            <w:tcW w:w="5670"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1.要求供应商在产品设计生产过程中采用绿色设计技术，减少环境污染和能源消耗，使用产品和零部件能够回收循环利用；</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2.要求供应商不使用有害物质作为包装物，在满足需求的前提下尽量减少包装物的材料消耗，不过度包装，包装物可循环利用、可降解或者可以无害化处理。</w:t>
            </w:r>
          </w:p>
        </w:tc>
        <w:tc>
          <w:tcPr>
            <w:tcW w:w="4562"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查看相应文件制度条款、合作效果及产品包装情况。</w:t>
            </w:r>
          </w:p>
        </w:tc>
        <w:tc>
          <w:tcPr>
            <w:tcW w:w="961" w:type="dxa"/>
            <w:noWrap w:val="0"/>
            <w:vAlign w:val="center"/>
          </w:tcPr>
          <w:p>
            <w:pPr>
              <w:widowControl/>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绿色服务</w:t>
            </w:r>
          </w:p>
        </w:tc>
        <w:tc>
          <w:tcPr>
            <w:tcW w:w="5670" w:type="dxa"/>
            <w:noWrap w:val="0"/>
            <w:vAlign w:val="center"/>
          </w:tcPr>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1.设有绿色环保商品销售专区或专用货架（柜）；</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2.夏季室温不低于26摄氏度，冬季室温不高于20摄氏度，不同功能区域温度和湿度均适宜；整体环境整洁、卫生，空气清新；</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3.洗手间、餐厅等用水区显著位置设施节水提示或宣传标识；</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合理布置功能区域并提供必要的服务措施和步行路线引导标识；（门店出入口、地下车库、楼层通道、卫生间、电梯、紧急出口等位置均设有醒目引导标识；门店生鲜区、百货区、调味品区等各销售功能区域布置合理，标识醒目）</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5.机动车停车设施应位置合理、数量适宜、出入方便，有醒目的停车设施引导标识；</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6.餐饮区域应备有儿童座椅；</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7.婴孕儿童区域应设有母婴室，且有明显标识。</w:t>
            </w:r>
          </w:p>
        </w:tc>
        <w:tc>
          <w:tcPr>
            <w:tcW w:w="4562" w:type="dxa"/>
            <w:noWrap w:val="0"/>
            <w:vAlign w:val="center"/>
          </w:tcPr>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1.查看商场信息标识是否完整、便利；</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2.查看相关设备设置是否合理并有效使用；</w:t>
            </w:r>
          </w:p>
          <w:p>
            <w:pPr>
              <w:widowControl/>
              <w:snapToGrid w:val="0"/>
              <w:spacing w:line="2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3.查看室内温度监控记录；</w:t>
            </w:r>
          </w:p>
          <w:p>
            <w:pPr>
              <w:widowControl/>
              <w:snapToGrid w:val="0"/>
              <w:spacing w:line="2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4.查看门店销售绿色环保商品的商家情况；</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5.查看停车场规划及管理情况；</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6.查看商场信息标识是否完整、便利。</w:t>
            </w:r>
          </w:p>
        </w:tc>
        <w:tc>
          <w:tcPr>
            <w:tcW w:w="961"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16</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现代信息技术应用</w:t>
            </w:r>
          </w:p>
        </w:tc>
        <w:tc>
          <w:tcPr>
            <w:tcW w:w="5670" w:type="dxa"/>
            <w:noWrap w:val="0"/>
            <w:vAlign w:val="center"/>
          </w:tcPr>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1.收银区提供现金和各类电子收银方式；门店设有顾客服务中心，不定期组织顾客服务活动；</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2.门店提供wifi服务，自建或合作开通网络商城；</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3.企业自建app或微信公众号，能推送促销信息或简单互动，提供在线下单配送服务。</w:t>
            </w:r>
          </w:p>
        </w:tc>
        <w:tc>
          <w:tcPr>
            <w:tcW w:w="4562" w:type="dxa"/>
            <w:noWrap w:val="0"/>
            <w:vAlign w:val="center"/>
          </w:tcPr>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1.查看收银结算方式；</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2.查看会员服务情况；</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3.查看现代信息技术应用情况；</w:t>
            </w:r>
          </w:p>
          <w:p>
            <w:pPr>
              <w:autoSpaceDE w:val="0"/>
              <w:autoSpaceDN w:val="0"/>
              <w:adjustRightInd w:val="0"/>
              <w:snapToGrid w:val="0"/>
              <w:spacing w:line="2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4.查看手机移动端服务水平。</w:t>
            </w:r>
          </w:p>
        </w:tc>
        <w:tc>
          <w:tcPr>
            <w:tcW w:w="961"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730" w:type="dxa"/>
            <w:gridSpan w:val="4"/>
            <w:noWrap w:val="0"/>
            <w:vAlign w:val="center"/>
          </w:tcPr>
          <w:p>
            <w:pPr>
              <w:autoSpaceDE w:val="0"/>
              <w:autoSpaceDN w:val="0"/>
              <w:adjustRightInd w:val="0"/>
              <w:spacing w:line="300" w:lineRule="exact"/>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四、绿色消费</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17</w:t>
            </w:r>
          </w:p>
        </w:tc>
        <w:tc>
          <w:tcPr>
            <w:tcW w:w="1710"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绿色消费宣传</w:t>
            </w:r>
          </w:p>
        </w:tc>
        <w:tc>
          <w:tcPr>
            <w:tcW w:w="5670"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1.组织或参与以“绿色、环保”为主题的公益活动，提高消费者的环保意识，联合入驻商户开展环保低碳类商品的促销宣传活动，引导科学、适度、可持续的消费行为；</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2.在收银台设置提醒消费者节能节约和绿色消费的标识；</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3.在扶梯口设置提醒消费者节能节约和绿色消费的标识；</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4.在餐饮商户餐桌上张贴节约粮食和合理消费的标识；</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5.在卫生间小便池、洗手池、推拉手柄处等地设置相应提醒标识标语；</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6.在直梯间设置提醒消费者节能节约和绿色消费的标识。</w:t>
            </w:r>
          </w:p>
        </w:tc>
        <w:tc>
          <w:tcPr>
            <w:tcW w:w="4562"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1.查看活动记录；</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2.查看提醒标识设置是否合理充分。</w:t>
            </w:r>
          </w:p>
        </w:tc>
        <w:tc>
          <w:tcPr>
            <w:tcW w:w="961"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18</w:t>
            </w:r>
          </w:p>
        </w:tc>
        <w:tc>
          <w:tcPr>
            <w:tcW w:w="1710"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绿色产品消费引导</w:t>
            </w:r>
          </w:p>
        </w:tc>
        <w:tc>
          <w:tcPr>
            <w:tcW w:w="5670"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Cs w:val="21"/>
              </w:rPr>
              <w:t>在节能产品、低碳产品、环境标志产品和绿色产品销售区域设置醒目标签标识，引导消费者购买。</w:t>
            </w:r>
          </w:p>
        </w:tc>
        <w:tc>
          <w:tcPr>
            <w:tcW w:w="4562"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查看标识设置是否合理充分。</w:t>
            </w:r>
          </w:p>
        </w:tc>
        <w:tc>
          <w:tcPr>
            <w:tcW w:w="961"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19</w:t>
            </w:r>
          </w:p>
        </w:tc>
        <w:tc>
          <w:tcPr>
            <w:tcW w:w="1710"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环保购物袋和包装物的推广与使用</w:t>
            </w:r>
          </w:p>
        </w:tc>
        <w:tc>
          <w:tcPr>
            <w:tcW w:w="5670"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1.禁止入驻商户使用厚度小于0.025毫米超薄塑料袋；</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2.提供可降解的环保包装物或购物袋；</w:t>
            </w:r>
          </w:p>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3.采取措施减少不可降解塑料袋的使用。</w:t>
            </w:r>
          </w:p>
        </w:tc>
        <w:tc>
          <w:tcPr>
            <w:tcW w:w="4562" w:type="dxa"/>
            <w:noWrap w:val="0"/>
            <w:vAlign w:val="center"/>
          </w:tcPr>
          <w:p>
            <w:pPr>
              <w:autoSpaceDE w:val="0"/>
              <w:autoSpaceDN w:val="0"/>
              <w:adjustRightInd w:val="0"/>
              <w:snapToGrid w:val="0"/>
              <w:spacing w:line="28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查看合作协议及实践效果</w:t>
            </w:r>
          </w:p>
        </w:tc>
        <w:tc>
          <w:tcPr>
            <w:tcW w:w="961"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88"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w:t>
            </w:r>
          </w:p>
        </w:tc>
        <w:tc>
          <w:tcPr>
            <w:tcW w:w="1710"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废旧资源回收与宣传</w:t>
            </w:r>
          </w:p>
        </w:tc>
        <w:tc>
          <w:tcPr>
            <w:tcW w:w="5670" w:type="dxa"/>
            <w:noWrap w:val="0"/>
            <w:vAlign w:val="center"/>
          </w:tcPr>
          <w:p>
            <w:pPr>
              <w:autoSpaceDE w:val="0"/>
              <w:autoSpaceDN w:val="0"/>
              <w:adjustRightInd w:val="0"/>
              <w:snapToGrid w:val="0"/>
              <w:spacing w:line="30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1.商场内设有废旧电脑、手机等回收设备或回收柜台；</w:t>
            </w:r>
          </w:p>
          <w:p>
            <w:pPr>
              <w:autoSpaceDE w:val="0"/>
              <w:autoSpaceDN w:val="0"/>
              <w:adjustRightInd w:val="0"/>
              <w:snapToGrid w:val="0"/>
              <w:spacing w:line="30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2.商场内张贴资源节约或垃圾分类知识宣传资料；</w:t>
            </w:r>
          </w:p>
          <w:p>
            <w:pPr>
              <w:autoSpaceDE w:val="0"/>
              <w:autoSpaceDN w:val="0"/>
              <w:adjustRightInd w:val="0"/>
              <w:snapToGrid w:val="0"/>
              <w:spacing w:line="30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3.鼓励有关商户开展商品保养维护活动；</w:t>
            </w:r>
          </w:p>
          <w:p>
            <w:pPr>
              <w:autoSpaceDE w:val="0"/>
              <w:autoSpaceDN w:val="0"/>
              <w:adjustRightInd w:val="0"/>
              <w:snapToGrid w:val="0"/>
              <w:spacing w:line="30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4.利用以旧换新、积分奖励等方法，鼓励有关商户开展商品以旧换新等公益捐助活动，提高废弃物回收利用率。</w:t>
            </w:r>
          </w:p>
        </w:tc>
        <w:tc>
          <w:tcPr>
            <w:tcW w:w="4562" w:type="dxa"/>
            <w:noWrap w:val="0"/>
            <w:vAlign w:val="center"/>
          </w:tcPr>
          <w:p>
            <w:pPr>
              <w:autoSpaceDE w:val="0"/>
              <w:autoSpaceDN w:val="0"/>
              <w:adjustRightInd w:val="0"/>
              <w:spacing w:line="30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1.查看实际情况；</w:t>
            </w:r>
          </w:p>
          <w:p>
            <w:pPr>
              <w:autoSpaceDE w:val="0"/>
              <w:autoSpaceDN w:val="0"/>
              <w:adjustRightInd w:val="0"/>
              <w:spacing w:line="30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2.查看品牌商户活动开展情况；</w:t>
            </w:r>
          </w:p>
          <w:p>
            <w:pPr>
              <w:autoSpaceDE w:val="0"/>
              <w:autoSpaceDN w:val="0"/>
              <w:adjustRightInd w:val="0"/>
              <w:spacing w:line="30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3.查看公益活动组织效果。</w:t>
            </w:r>
          </w:p>
        </w:tc>
        <w:tc>
          <w:tcPr>
            <w:tcW w:w="961" w:type="dxa"/>
            <w:noWrap w:val="0"/>
            <w:vAlign w:val="center"/>
          </w:tcPr>
          <w:p>
            <w:pPr>
              <w:autoSpaceDE w:val="0"/>
              <w:autoSpaceDN w:val="0"/>
              <w:adjustRightInd w:val="0"/>
              <w:snapToGrid w:val="0"/>
              <w:spacing w:line="28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730" w:type="dxa"/>
            <w:gridSpan w:val="4"/>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总分</w:t>
            </w:r>
          </w:p>
        </w:tc>
        <w:tc>
          <w:tcPr>
            <w:tcW w:w="961" w:type="dxa"/>
            <w:noWrap w:val="0"/>
            <w:vAlign w:val="center"/>
          </w:tcPr>
          <w:p>
            <w:pPr>
              <w:autoSpaceDE w:val="0"/>
              <w:autoSpaceDN w:val="0"/>
              <w:adjustRightIn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mZlZmU2MzVkODc4ZDJhOWQzOTE5NzQ3MTc1NmQifQ=="/>
  </w:docVars>
  <w:rsids>
    <w:rsidRoot w:val="73950995"/>
    <w:rsid w:val="73950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unhideWhenUsed/>
    <w:qFormat/>
    <w:uiPriority w:val="99"/>
    <w:pPr>
      <w:spacing w:after="120"/>
      <w:ind w:left="420" w:leftChars="200"/>
    </w:pPr>
    <w:rPr>
      <w:rFonts w:ascii="Calibri" w:hAnsi="Calibri" w:eastAsia="宋体" w:cs="Times New Roman"/>
    </w:r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2023-04-14T10:14:00Z</dcterms:created>
  <dc:creator>토끼</dc:creator>
  <cp:lastModifiedBy>토끼</cp:lastModifiedBy>
  <dcterms:modified xsi:type="dcterms:W3CDTF">2023-04-14T10:15:37Z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15645BFFDABE407F97BA27F9DC24D02B_11</vt:lpwstr>
  </property>
</Properties>
</file>