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6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附件1</w:t>
      </w:r>
    </w:p>
    <w:p>
      <w:pPr>
        <w:pStyle w:val="PO7"/>
        <w:numPr>
          <w:ilvl w:val="0"/>
          <w:numId w:val="0"/>
        </w:numPr>
        <w:jc w:val="center"/>
        <w:spacing w:lineRule="auto" w:line="576" w:before="0" w:after="160"/>
        <w:ind w:right="0" w:firstLine="0"/>
        <w:rPr>
          <w:b w:val="1"/>
          <w:color w:val="auto"/>
          <w:position w:val="0"/>
          <w:sz w:val="44"/>
          <w:szCs w:val="44"/>
          <w:rFonts w:ascii="方正小标宋_GBK" w:eastAsia="Times New Roman" w:hAnsi="Times New Roman" w:hint="default"/>
        </w:rPr>
        <w:outlineLvl w:val="0"/>
        <w:wordWrap w:val="off"/>
      </w:pPr>
      <w:r>
        <w:rPr>
          <w:b w:val="1"/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t>送达回证</w:t>
      </w:r>
    </w:p>
    <w:tbl>
      <w:tblID w:val="0"/>
      <w:tblPr>
        <w:tblStyle w:val="PO37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490" w:type="dxa"/>
        <w:tblInd w:w="108" w:type="dxa"/>
        <w:tblLook w:val="000000" w:firstRow="0" w:lastRow="0" w:firstColumn="0" w:lastColumn="0" w:noHBand="0" w:noVBand="0"/>
        <w:tblLayout w:type="fixed"/>
      </w:tblPr>
      <w:tblGrid>
        <w:gridCol w:w="1917"/>
        <w:gridCol w:w="6573"/>
      </w:tblGrid>
      <w:tr>
        <w:trPr>
          <w:trHeight w:hRule="atleast" w:val="2046"/>
          <w:hidden w:val="0"/>
        </w:trPr>
        <w:tc>
          <w:tcPr>
            <w:tcW w:type="dxa" w:w="1917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32"/>
                <w:szCs w:val="32"/>
                <w:rFonts w:ascii="楷体_GB2312" w:eastAsia="Times New Roman" w:hAnsi="Times New Roman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2"/>
                <w:szCs w:val="32"/>
                <w:rFonts w:ascii="楷体_GB2312" w:eastAsia="楷体_GB2312" w:hAnsi="楷体_GB2312" w:hint="default"/>
              </w:rPr>
              <w:t>送达文书</w:t>
            </w:r>
          </w:p>
        </w:tc>
        <w:tc>
          <w:tcPr>
            <w:tcW w:type="dxa" w:w="6573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t>自治区财政厅财政监督检查通知书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wordWrap w:val="off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t>宁财监检〔2019〕5号</w:t>
            </w:r>
          </w:p>
        </w:tc>
      </w:tr>
      <w:tr>
        <w:trPr>
          <w:trHeight w:hRule="atleast" w:val="1858"/>
          <w:hidden w:val="0"/>
        </w:trPr>
        <w:tc>
          <w:tcPr>
            <w:tcW w:type="dxa" w:w="1917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32"/>
                <w:szCs w:val="32"/>
                <w:rFonts w:ascii="楷体_GB2312" w:eastAsia="Times New Roman" w:hAnsi="Times New Roman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2"/>
                <w:szCs w:val="32"/>
                <w:rFonts w:ascii="楷体_GB2312" w:eastAsia="楷体_GB2312" w:hAnsi="楷体_GB2312" w:hint="default"/>
              </w:rPr>
              <w:t>送达人及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32"/>
                <w:szCs w:val="32"/>
                <w:rFonts w:ascii="楷体_GB2312" w:eastAsia="Times New Roman" w:hAnsi="Times New Roman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2"/>
                <w:szCs w:val="32"/>
                <w:rFonts w:ascii="楷体_GB2312" w:eastAsia="楷体_GB2312" w:hAnsi="楷体_GB2312" w:hint="default"/>
              </w:rPr>
              <w:t>送达时间</w:t>
            </w:r>
          </w:p>
        </w:tc>
        <w:tc>
          <w:tcPr>
            <w:tcW w:type="dxa" w:w="6573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wordWrap w:val="off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t>宁夏回族自治区财政厅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wordWrap w:val="off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t>2019年12月13日</w:t>
            </w:r>
          </w:p>
        </w:tc>
      </w:tr>
      <w:tr>
        <w:trPr>
          <w:trHeight w:hRule="atleast" w:val="2074"/>
          <w:hidden w:val="0"/>
        </w:trPr>
        <w:tc>
          <w:tcPr>
            <w:tcW w:type="dxa" w:w="1917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32"/>
                <w:szCs w:val="32"/>
                <w:rFonts w:ascii="楷体_GB2312" w:eastAsia="楷体_GB2312" w:hAnsi="楷体_GB2312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2"/>
                <w:szCs w:val="32"/>
                <w:rFonts w:ascii="楷体_GB2312" w:eastAsia="楷体_GB2312" w:hAnsi="楷体_GB2312" w:hint="default"/>
              </w:rPr>
              <w:t>受送达人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32"/>
                <w:szCs w:val="32"/>
                <w:rFonts w:ascii="楷体_GB2312" w:eastAsia="楷体_GB2312" w:hAnsi="楷体_GB2312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2"/>
                <w:szCs w:val="32"/>
                <w:rFonts w:ascii="楷体_GB2312" w:eastAsia="楷体_GB2312" w:hAnsi="楷体_GB2312" w:hint="default"/>
              </w:rPr>
              <w:t>及签收时间</w:t>
            </w:r>
          </w:p>
        </w:tc>
        <w:tc>
          <w:tcPr>
            <w:tcW w:type="dxa" w:w="6573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64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64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64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t>负责人（签字）：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wordWrap w:val="off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t xml:space="preserve">               （单位盖章）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wordWrap w:val="off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t xml:space="preserve">      年     月      日</w:t>
            </w:r>
          </w:p>
        </w:tc>
      </w:tr>
      <w:tr>
        <w:trPr>
          <w:trHeight w:hRule="atleast" w:val="1599"/>
          <w:hidden w:val="0"/>
        </w:trPr>
        <w:tc>
          <w:tcPr>
            <w:tcW w:type="dxa" w:w="1917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32"/>
                <w:szCs w:val="32"/>
                <w:rFonts w:ascii="楷体_GB2312" w:eastAsia="Times New Roman" w:hAnsi="Times New Roman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32"/>
                <w:szCs w:val="32"/>
                <w:rFonts w:ascii="楷体_GB2312" w:eastAsia="楷体_GB2312" w:hAnsi="楷体_GB2312" w:hint="default"/>
              </w:rPr>
              <w:t>备注</w:t>
            </w:r>
          </w:p>
        </w:tc>
        <w:tc>
          <w:tcPr>
            <w:tcW w:type="dxa" w:w="6573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wordWrap w:val="off"/>
            </w:pPr>
          </w:p>
        </w:tc>
      </w:tr>
    </w:tbl>
    <w:p>
      <w:pPr>
        <w:pStyle w:val="PO7"/>
        <w:numPr>
          <w:ilvl w:val="0"/>
          <w:numId w:val="0"/>
        </w:numPr>
        <w:jc w:val="left"/>
        <w:spacing w:lineRule="auto" w:line="576" w:before="0" w:after="160"/>
        <w:ind w:right="0" w:firstLine="0"/>
        <w:rPr>
          <w:b w:val="0"/>
          <w:color w:val="auto"/>
          <w:position w:val="0"/>
          <w:sz w:val="32"/>
          <w:szCs w:val="32"/>
          <w:rFonts w:ascii="黑体" w:eastAsia="黑体" w:hAnsi="黑体" w:hint="default"/>
        </w:rPr>
        <w:outlineLvl w:val="0"/>
        <w:wordWrap w:val="off"/>
      </w:pPr>
      <w:r>
        <w:rPr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附件2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center"/>
        <w:spacing w:lineRule="exact" w:line="600" w:before="120" w:after="120"/>
        <w:pageBreakBefore w:val="0"/>
        <w:ind w:right="0" w:firstLine="0"/>
        <w:rPr>
          <w:color w:val="auto"/>
          <w:position w:val="0"/>
          <w:sz w:val="44"/>
          <w:szCs w:val="44"/>
          <w:rFonts w:ascii="方正小标宋_GBK" w:eastAsia="Times New Roman" w:hAnsi="Times New Roman" w:hint="default"/>
        </w:rPr>
        <w:wordWrap w:val="off"/>
      </w:pPr>
      <w:r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t>财政监督“十不准”工作纪律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一、不准在监督过程中发表与中央的路线方针政策和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决定以及中央和自治区的决策部署相违背的言论；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二、不准隐瞒、包庇被监督人的违法、违规问题，或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者利用监督职权刁难、打击、报复被监督人；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三、不准由被监督人及其关系人支付或者补贴住宿费、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交通费、电话费等费用；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四、不准接受被监督人及其关系人的礼金、礼品、消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费卡、纪念品、有价证券和支付凭证等；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五、不准参加被监督人及其关系人安排的宴请、旅游、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娱乐等活动；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六、不准向被监督人提出与监督工作无关的要求；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七、不准在非工作场合接待被监督人及其关系人的工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作人员；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八、不准利用监督职权或者在监督过程中获悉的商业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秘密、内部消息等为自己或他人谋利；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九、不准在财政部门作出结论之前私自向被监督人通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报相关情况或者泄露工作秘密；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十、不准违反法定程序实施行政处理、处罚，或者擅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自改变行政处理、处罚的种类、幅度。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b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</w:pPr>
      <w:r>
        <w:br w:type="page"/>
      </w:r>
      <w:r>
        <w:rPr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附件3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b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exact" w:line="560" w:before="120" w:after="120"/>
        <w:ind w:right="0" w:firstLine="0"/>
        <w:rPr>
          <w:color w:val="auto"/>
          <w:position w:val="0"/>
          <w:sz w:val="44"/>
          <w:szCs w:val="44"/>
          <w:rFonts w:ascii="方正小标宋_GBK" w:eastAsia="Times New Roman" w:hAnsi="Times New Roman" w:hint="default"/>
        </w:rPr>
        <w:wordWrap w:val="off"/>
      </w:pPr>
      <w:r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t>财政监督“四严禁”工作要求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一、严禁干预被监督单位资金分配等具体业务。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二、严禁以授课费、咨询费等方式从被监督单位获得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报酬。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三、严禁向被监督单位推销商品或介绍业务。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四、严禁工作期间饮酒和酒后驾驶机动车。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br w:type="page"/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b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</w:pPr>
      <w:r>
        <w:rPr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附件4</w:t>
      </w:r>
    </w:p>
    <w:p>
      <w:pPr>
        <w:numPr>
          <w:ilvl w:val="0"/>
          <w:numId w:val="0"/>
        </w:numPr>
        <w:jc w:val="center"/>
        <w:spacing w:lineRule="exact" w:line="560" w:before="120" w:after="120"/>
        <w:ind w:right="0" w:firstLine="0"/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wordWrap w:val="off"/>
      </w:pPr>
      <w:r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t>各市县区报送资料明细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一、本市、县（区）人民政府提请本级人大审议2018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年度政府预算和2019年度政府预算的文件及附件。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二、本市、县（区）人民政府提请本级人大常委会审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议2018年度政府预算调整方案和2019年度政府预算调整方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案的文件及附件。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三、本市、县（区）人民政府提请本级人大常委会审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议2018年度政府决算的文件及附件。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四、本级人民代表大会及其常委会审查批准政府预算、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预算调整方案和决算的决议。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五、本级财政部门受本市、县（区）人民政府委托向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本级人大及其常委会所作的相关报告。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六、本级财政部门批复本级预算各部门2019年度部门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预算和2018年度部门决算的文件。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七、本级预算部门批复</w:t>
      </w:r>
      <w:r>
        <w:rPr>
          <w:color w:val="auto"/>
          <w:position w:val="0"/>
          <w:sz w:val="32"/>
          <w:szCs w:val="32"/>
          <w:rFonts w:ascii="Times New Roman" w:eastAsia="Times New Roman" w:hAnsi="Times New Roman" w:hint="default"/>
        </w:rPr>
        <w:t>其所属各单位2018年度单位预</w:t>
      </w:r>
      <w:r>
        <w:rPr>
          <w:color w:val="auto"/>
          <w:position w:val="0"/>
          <w:sz w:val="32"/>
          <w:szCs w:val="32"/>
          <w:rFonts w:ascii="Times New Roman" w:eastAsia="Times New Roman" w:hAnsi="Times New Roman" w:hint="default"/>
        </w:rPr>
        <w:t>算、2019年度单位预算和2018年度单位决算的文件。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Times New Roman" w:eastAsia="Times New Roman" w:hAnsi="Times New Roman" w:hint="default"/>
        </w:rPr>
        <w:t>八、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本市、县（区）人民政府2018年度和2019年度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（截至2019年12月10日）在既有预算内调整、追加本级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预算部门资金的决定。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九、本级财政部门关于组织本级预算各部门开展预决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算公开工作的相关文件（包括但不限于制度性文件）。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十、本级人民政府办公室和本级财政部门督促、指导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和检查本级预算各部门开展预决算公开工作的情况说明。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十一、本级财政部门“三定”规定。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十二、本市、县（区）人民政府，本级财政部门、本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级预算各部门门户网站统计表（自行设计表格，没有门户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网站网站的需在表格相应栏次填写“无”）。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十三、本市县区公立档案馆、图书馆出具的《</w:t>
      </w:r>
      <w:r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t xml:space="preserve">      </w:t>
      </w:r>
      <w:r>
        <w:rPr>
          <w:color w:val="auto"/>
          <w:position w:val="0"/>
          <w:sz w:val="32"/>
          <w:szCs w:val="32"/>
          <w:u w:val="none"/>
          <w:rFonts w:ascii="仿宋_GB2312" w:eastAsia="仿宋_GB2312" w:hAnsi="仿宋_GB2312" w:hint="default"/>
        </w:rPr>
        <w:t>档案馆（图书馆）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收到预决算批复文件统计表》。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十四、检查工作需要查阅的其他文件资料。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附：</w:t>
      </w:r>
      <w:r>
        <w:rPr>
          <w:color w:val="auto"/>
          <w:position w:val="0"/>
          <w:sz w:val="32"/>
          <w:szCs w:val="32"/>
          <w:u w:val="single"/>
          <w:rFonts w:ascii="仿宋_GB2312" w:eastAsia="仿宋_GB2312" w:hAnsi="仿宋_GB2312" w:hint="default"/>
        </w:rPr>
        <w:t xml:space="preserve">      </w:t>
      </w:r>
      <w:r>
        <w:rPr>
          <w:color w:val="auto"/>
          <w:position w:val="0"/>
          <w:sz w:val="32"/>
          <w:szCs w:val="32"/>
          <w:u w:val="none"/>
          <w:rFonts w:ascii="仿宋_GB2312" w:eastAsia="仿宋_GB2312" w:hAnsi="仿宋_GB2312" w:hint="default"/>
        </w:rPr>
        <w:t>档案/图书馆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收到预决算批复文件统计表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sectPr>
          <w:footerReference w:type="default" r:id="rId5"/>
          <w:pgSz w:w="11906" w:h="16838"/>
          <w:pgMar w:top="1531" w:left="1814" w:bottom="1417" w:right="1814" w:header="851" w:footer="992" w:gutter="0"/>
          <w:pgNumType w:fmt="decimal"/>
          <w:docGrid w:type="lines" w:linePitch="312" w:charSpace="6144"/>
        </w:sect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0"/>
        <w:rPr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附</w:t>
      </w:r>
    </w:p>
    <w:p>
      <w:pPr>
        <w:numPr>
          <w:ilvl w:val="0"/>
          <w:numId w:val="0"/>
        </w:numPr>
        <w:jc w:val="center"/>
        <w:spacing w:lineRule="exact" w:line="560" w:before="0" w:after="160"/>
        <w:ind w:right="0" w:firstLine="0"/>
        <w:rPr>
          <w:color w:val="auto"/>
          <w:position w:val="0"/>
          <w:sz w:val="32"/>
          <w:szCs w:val="32"/>
          <w:rFonts w:ascii="方正小标宋_GBK" w:eastAsia="方正小标宋_GBK" w:hAnsi="方正小标宋_GBK" w:hint="default"/>
        </w:rPr>
        <w:wordWrap w:val="off"/>
      </w:pPr>
      <w:r>
        <w:rPr>
          <w:color w:val="auto"/>
          <w:position w:val="0"/>
          <w:sz w:val="32"/>
          <w:szCs w:val="32"/>
          <w:u w:val="none"/>
          <w:rFonts w:ascii="方正小标宋_GBK" w:eastAsia="方正小标宋_GBK" w:hAnsi="方正小标宋_GBK" w:hint="default"/>
        </w:rPr>
        <w:t>2019年度</w:t>
      </w:r>
      <w:r>
        <w:rPr>
          <w:color w:val="auto"/>
          <w:position w:val="0"/>
          <w:sz w:val="32"/>
          <w:szCs w:val="32"/>
          <w:u w:val="single"/>
          <w:rFonts w:ascii="方正小标宋_GBK" w:eastAsia="方正小标宋_GBK" w:hAnsi="方正小标宋_GBK" w:hint="default"/>
        </w:rPr>
        <w:t xml:space="preserve">              </w:t>
      </w:r>
      <w:r>
        <w:rPr>
          <w:color w:val="auto"/>
          <w:position w:val="0"/>
          <w:sz w:val="32"/>
          <w:szCs w:val="32"/>
          <w:u w:val="none"/>
          <w:rFonts w:ascii="方正小标宋_GBK" w:eastAsia="方正小标宋_GBK" w:hAnsi="方正小标宋_GBK" w:hint="default"/>
        </w:rPr>
        <w:t>档案/图书馆</w:t>
      </w:r>
      <w:r>
        <w:rPr>
          <w:color w:val="auto"/>
          <w:position w:val="0"/>
          <w:sz w:val="32"/>
          <w:szCs w:val="32"/>
          <w:rFonts w:ascii="方正小标宋_GBK" w:eastAsia="方正小标宋_GBK" w:hAnsi="方正小标宋_GBK" w:hint="default"/>
        </w:rPr>
        <w:t>收到预决算批复文件统计表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填表单位（盖章）：                                                        年       月    日</w:t>
      </w:r>
    </w:p>
    <w:tbl>
      <w:tblID w:val="0"/>
      <w:tblPr>
        <w:tblStyle w:val="PO38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2813" w:type="dxa"/>
        <w:tblLook w:val="000000" w:firstRow="0" w:lastRow="0" w:firstColumn="0" w:lastColumn="0" w:noHBand="0" w:noVBand="0"/>
        <w:tblLayout w:type="fixed"/>
      </w:tblPr>
      <w:tblGrid>
        <w:gridCol w:w="877"/>
        <w:gridCol w:w="1515"/>
        <w:gridCol w:w="1845"/>
        <w:gridCol w:w="7196"/>
        <w:gridCol w:w="1380"/>
      </w:tblGrid>
      <w:tr>
        <w:trPr>
          <w:hidden w:val="0"/>
        </w:trPr>
        <w:tc>
          <w:tcPr>
            <w:tcW w:type="dxa" w:w="877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t>序号</w:t>
            </w:r>
          </w:p>
        </w:tc>
        <w:tc>
          <w:tcPr>
            <w:tcW w:type="dxa" w:w="1515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t>收文日期</w:t>
            </w:r>
          </w:p>
        </w:tc>
        <w:tc>
          <w:tcPr>
            <w:tcW w:type="dxa" w:w="1845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t>来文单位</w:t>
            </w:r>
          </w:p>
        </w:tc>
        <w:tc>
          <w:tcPr>
            <w:tcW w:type="dxa" w:w="7196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t>文件名称</w:t>
            </w:r>
          </w:p>
        </w:tc>
        <w:tc>
          <w:tcPr>
            <w:tcW w:type="dxa" w:w="13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t>备注</w:t>
            </w:r>
          </w:p>
        </w:tc>
      </w:tr>
      <w:tr>
        <w:trPr>
          <w:hidden w:val="0"/>
        </w:trPr>
        <w:tc>
          <w:tcPr>
            <w:tcW w:type="dxa" w:w="877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151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84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7196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38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</w:tr>
      <w:tr>
        <w:trPr>
          <w:hidden w:val="0"/>
        </w:trPr>
        <w:tc>
          <w:tcPr>
            <w:tcW w:type="dxa" w:w="877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151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84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7196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38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</w:tr>
      <w:tr>
        <w:trPr>
          <w:hidden w:val="0"/>
        </w:trPr>
        <w:tc>
          <w:tcPr>
            <w:tcW w:type="dxa" w:w="877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3</w:t>
            </w:r>
          </w:p>
        </w:tc>
        <w:tc>
          <w:tcPr>
            <w:tcW w:type="dxa" w:w="151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84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7196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38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</w:tr>
      <w:tr>
        <w:trPr>
          <w:hidden w:val="0"/>
        </w:trPr>
        <w:tc>
          <w:tcPr>
            <w:tcW w:type="dxa" w:w="877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……</w:t>
            </w:r>
          </w:p>
        </w:tc>
        <w:tc>
          <w:tcPr>
            <w:tcW w:type="dxa" w:w="151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84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7196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38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</w:tr>
      <w:tr>
        <w:trPr>
          <w:hidden w:val="0"/>
        </w:trPr>
        <w:tc>
          <w:tcPr>
            <w:tcW w:type="dxa" w:w="877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……</w:t>
            </w:r>
          </w:p>
        </w:tc>
        <w:tc>
          <w:tcPr>
            <w:tcW w:type="dxa" w:w="151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84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7196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38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</w:tr>
      <w:tr>
        <w:trPr>
          <w:hidden w:val="0"/>
        </w:trPr>
        <w:tc>
          <w:tcPr>
            <w:tcW w:type="dxa" w:w="877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……</w:t>
            </w:r>
          </w:p>
        </w:tc>
        <w:tc>
          <w:tcPr>
            <w:tcW w:type="dxa" w:w="151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84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7196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380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exact" w:line="560" w:before="0" w:after="160"/>
              <w:ind w:right="0" w:firstLine="0"/>
              <w:rPr>
                <w:vertAlign w:val="baseline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</w:tc>
      </w:tr>
    </w:tbl>
    <w:p>
      <w:pPr>
        <w:numPr>
          <w:ilvl w:val="0"/>
          <w:numId w:val="0"/>
        </w:numPr>
        <w:jc w:val="both"/>
        <w:spacing w:lineRule="exact" w:line="560" w:before="0" w:after="160"/>
        <w:ind w:righ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负责人（签名）：             填表人（签名）：            联系电话（手机）：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28"/>
          <w:szCs w:val="28"/>
          <w:rFonts w:ascii="黑体" w:eastAsia="黑体" w:hAnsi="黑体" w:hint="default"/>
        </w:rPr>
        <w:t>说明：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本表由各市、县（区）公立档案馆、图书馆根据2019年收到本市、县（区）内各级财政部门和各级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预算部门（单位）依法依规向本馆提供预决算批复文件的具体实际</w:t>
      </w:r>
      <w:r>
        <w:rPr>
          <w:color w:val="auto"/>
          <w:position w:val="0"/>
          <w:sz w:val="28"/>
          <w:szCs w:val="28"/>
          <w:rFonts w:ascii="黑体" w:eastAsia="黑体" w:hAnsi="黑体" w:hint="default"/>
        </w:rPr>
        <w:t>如实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填写。</w:t>
      </w:r>
      <w:r>
        <w:rPr>
          <w:b w:val="1"/>
          <w:color w:val="auto"/>
          <w:position w:val="0"/>
          <w:sz w:val="28"/>
          <w:szCs w:val="28"/>
          <w:rFonts w:ascii="楷体_GB2312" w:eastAsia="楷体_GB2312" w:hAnsi="楷体_GB2312" w:hint="default"/>
        </w:rPr>
        <w:t>根据相关法律法规规章制度的</w:t>
      </w:r>
      <w:r>
        <w:rPr>
          <w:b w:val="1"/>
          <w:color w:val="auto"/>
          <w:position w:val="0"/>
          <w:sz w:val="28"/>
          <w:szCs w:val="28"/>
          <w:rFonts w:ascii="楷体_GB2312" w:eastAsia="楷体_GB2312" w:hAnsi="楷体_GB2312" w:hint="default"/>
        </w:rPr>
        <w:t>规定，不如实提供有关资料或者提供虚假资料的，需要承担相应的法律责任和党纪政务责任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。</w:t>
      </w:r>
    </w:p>
    <w:p>
      <w:pPr>
        <w:sectPr>
          <w:pgSz w:w="16838" w:h="11906" w:orient="landscape"/>
          <w:pgMar w:top="1814" w:left="1984" w:bottom="1814" w:right="2098" w:header="851" w:footer="992" w:gutter="0"/>
          <w:pgNumType w:fmt="decimal"/>
          <w:docGrid w:type="lines" w:linePitch="318" w:charSpace="6144"/>
        </w:sectPr>
        <w:numPr>
          <w:ilvl w:val="0"/>
          <w:numId w:val="0"/>
        </w:numPr>
        <w:jc w:val="both"/>
        <w:spacing w:lineRule="exact" w:line="560" w:before="0" w:after="160"/>
        <w:ind w:right="0" w:firstLine="0"/>
        <w:rPr>
          <w:b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b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</w:pPr>
      <w:r>
        <w:rPr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附件5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b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exact" w:line="560" w:before="120" w:after="120"/>
        <w:ind w:right="0" w:firstLine="0"/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wordWrap w:val="off"/>
      </w:pPr>
      <w:r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t>区直各部门（单位）报送资料明细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一、自治区财政厅批复本部门（单位）2018年度和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2019年度部门预算的文件及附件。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二、自治区财政厅批复本部门（单位）2018年度部门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决算的文件及附件。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三、本部门（单位）批复</w:t>
      </w:r>
      <w:r>
        <w:rPr>
          <w:color w:val="auto"/>
          <w:position w:val="0"/>
          <w:sz w:val="32"/>
          <w:szCs w:val="32"/>
          <w:rFonts w:ascii="Times New Roman" w:eastAsia="Times New Roman" w:hAnsi="Times New Roman" w:hint="default"/>
        </w:rPr>
        <w:t>所属各单位2018年度单位预</w:t>
      </w:r>
      <w:r>
        <w:rPr>
          <w:color w:val="auto"/>
          <w:position w:val="0"/>
          <w:sz w:val="32"/>
          <w:szCs w:val="32"/>
          <w:rFonts w:ascii="Times New Roman" w:eastAsia="Times New Roman" w:hAnsi="Times New Roman" w:hint="default"/>
        </w:rPr>
        <w:t>算、2019年度单位预算和2018年度单位决算的文件。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32"/>
          <w:szCs w:val="32"/>
          <w:rFonts w:ascii="Times New Roman" w:eastAsia="Times New Roman" w:hAnsi="Times New Roman" w:hint="default"/>
        </w:rPr>
        <w:t>四、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自治区财政厅在2018年度、2019年度追加安排本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部门（单位）资金的指标文件或基本支出核拨表。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五、本部门（单位）及</w:t>
      </w:r>
      <w:r>
        <w:rPr>
          <w:color w:val="auto"/>
          <w:position w:val="0"/>
          <w:sz w:val="32"/>
          <w:szCs w:val="32"/>
          <w:rFonts w:ascii="Times New Roman" w:eastAsia="Times New Roman" w:hAnsi="Times New Roman" w:hint="default"/>
        </w:rPr>
        <w:t>所属各单位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门户网站统计表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（自行设计表格，没有门户网站网站的需在表格相应栏次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填写“无”）。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六、检查工作需要查阅的其他文件资料。</w:t>
      </w: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exact" w:line="560" w:before="0" w:after="16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br w:type="page"/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b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</w:pPr>
      <w:r>
        <w:rPr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附件6</w:t>
      </w:r>
    </w:p>
    <w:p>
      <w:pPr>
        <w:numPr>
          <w:ilvl w:val="0"/>
          <w:numId w:val="0"/>
        </w:numPr>
        <w:jc w:val="center"/>
        <w:spacing w:lineRule="exact" w:line="560" w:before="120" w:after="120"/>
        <w:ind w:right="0" w:firstLine="0"/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wordWrap w:val="off"/>
      </w:pPr>
      <w:r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t>财政监督检查联系人登记表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单位（盖章）：</w:t>
      </w:r>
    </w:p>
    <w:tbl>
      <w:tblID w:val="0"/>
      <w:tblPr>
        <w:tblStyle w:val="PO38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494" w:type="dxa"/>
        <w:tblLook w:val="000000" w:firstRow="0" w:lastRow="0" w:firstColumn="0" w:lastColumn="0" w:noHBand="0" w:noVBand="0"/>
        <w:tblLayout w:type="fixed"/>
      </w:tblPr>
      <w:tblGrid>
        <w:gridCol w:w="888"/>
        <w:gridCol w:w="1395"/>
        <w:gridCol w:w="885"/>
        <w:gridCol w:w="1935"/>
        <w:gridCol w:w="3391"/>
      </w:tblGrid>
      <w:tr>
        <w:trPr>
          <w:hidden w:val="0"/>
        </w:trPr>
        <w:tc>
          <w:tcPr>
            <w:tcW w:type="dxa" w:w="888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序号</w:t>
            </w:r>
          </w:p>
        </w:tc>
        <w:tc>
          <w:tcPr>
            <w:tcW w:type="dxa" w:w="1395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姓名</w:t>
            </w:r>
          </w:p>
        </w:tc>
        <w:tc>
          <w:tcPr>
            <w:tcW w:type="dxa" w:w="885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性别</w:t>
            </w:r>
          </w:p>
        </w:tc>
        <w:tc>
          <w:tcPr>
            <w:tcW w:type="dxa" w:w="1935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职务</w:t>
            </w:r>
          </w:p>
        </w:tc>
        <w:tc>
          <w:tcPr>
            <w:tcW w:type="dxa" w:w="3391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手机号码</w:t>
            </w:r>
          </w:p>
        </w:tc>
      </w:tr>
      <w:tr>
        <w:trPr>
          <w:hidden w:val="0"/>
        </w:trPr>
        <w:tc>
          <w:tcPr>
            <w:tcW w:type="dxa" w:w="888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1</w:t>
            </w:r>
          </w:p>
        </w:tc>
        <w:tc>
          <w:tcPr>
            <w:tcW w:type="dxa" w:w="1395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885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935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3391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</w:pPr>
          </w:p>
        </w:tc>
      </w:tr>
      <w:tr>
        <w:trPr>
          <w:hidden w:val="0"/>
        </w:trPr>
        <w:tc>
          <w:tcPr>
            <w:tcW w:type="dxa" w:w="888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wordWrap w:val="off"/>
            </w:pPr>
            <w:r>
              <w:rPr>
                <w:vertAlign w:val="baseline"/>
                <w:color w:val="auto"/>
                <w:position w:val="0"/>
                <w:sz w:val="32"/>
                <w:szCs w:val="32"/>
                <w:rFonts w:ascii="黑体" w:eastAsia="黑体" w:hAnsi="黑体" w:hint="default"/>
              </w:rPr>
              <w:t>2</w:t>
            </w:r>
          </w:p>
        </w:tc>
        <w:tc>
          <w:tcPr>
            <w:tcW w:type="dxa" w:w="1395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885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935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3391"/>
            <w:vAlign w:val="center"/>
            <w:shd w:val="clea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600" w:before="0" w:after="160"/>
              <w:pageBreakBefore w:val="0"/>
              <w:ind w:right="0" w:firstLine="0"/>
              <w:rPr>
                <w:vertAlign w:val="baseline"/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</w:pPr>
          </w:p>
        </w:tc>
      </w:tr>
    </w:tbl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60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560" w:before="0" w:after="16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sectPr>
      <w:pgSz w:w="11906" w:h="16838"/>
      <w:pgMar w:top="2098" w:left="1814" w:bottom="1984" w:right="1814" w:header="851" w:footer="992" w:gutter="0"/>
      <w:pgNumType w:fmt="decimal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left"/>
      <w:spacing w:lineRule="auto" w:line="240" w:before="0" w:after="160"/>
      <w:ind w:right="0" w:firstLine="0"/>
      <w:tabs>
        <w:tab w:val="center" w:pos="4153"/>
        <w:tab w:val="center" w:pos="4153"/>
        <w:tab w:val="center" w:pos="4153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Times New Roman" w:hAnsi="Times New Roman" w:hint="default"/>
      </w:rPr>
      <w:wordWrap w:val="off"/>
    </w:pPr>
    <w:r>
      <w:rPr>
        <w:sz w:val="20"/>
      </w:rPr>
      <mc:AlternateContent>
        <mc:Choice Requires="wps">
          <w:drawing>
            <wp:anchor distT="0" distB="0" distL="114300" distR="114300" simplePos="0" relativeHeight="251624960" behindDoc="0" locked="0" layoutInCell="1" allowOverlap="1">
              <wp:simplePos x="0" y="0"/>
              <wp:positionH relativeFrom="margin">
                <wp:posOffset>2526668</wp:posOffset>
              </wp:positionH>
              <wp:positionV relativeFrom="paragraph">
                <wp:posOffset>-5</wp:posOffset>
              </wp:positionV>
              <wp:extent cx="622300" cy="332105"/>
              <wp:effectExtent l="0" t="0" r="0" b="0"/>
              <wp:wrapNone/>
              <wp:docPr id="1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332740"/>
                      </a:xfrm>
                      <a:prstGeom prst="rect"/>
                      <a:noFill/>
                      <a:ln w="6350" cap="flat">
                        <a:noFill/>
                      </a:ln>
                    </wps:spPr>
                    <wps:txbx style="mso-fit-shape-to-text:t;" inset="0pt,0pt,0pt,0pt">
                      <w:txbxContent>
                        <w:p>
                          <w:pPr>
                            <w:numPr>
                              <w:ilvl w:val="0"/>
                              <w:numId w:val="0"/>
                            </w:numPr>
                            <w:jc w:val="both"/>
                            <w:spacing w:lineRule="auto" w:line="240" w:before="0" w:after="160"/>
                            <w:ind w:right="0" w:firstLine="0"/>
                            <w:rPr>
                              <w:color w:val="auto"/>
                              <w:position w:val="0"/>
                              <w:sz w:val="18"/>
                              <w:szCs w:val="18"/>
                              <w:rFonts w:ascii="Calibri" w:eastAsia="宋体" w:hAnsi="宋体" w:hint="default"/>
                            </w:rPr>
                            <w:wordWrap w:val="off"/>
                          </w:pPr>
                          <w:r>
                            <w:rPr>
                              <w:color w:val="auto"/>
                              <w:position w:val="0"/>
                              <w:sz w:val="28"/>
                              <w:szCs w:val="28"/>
                              <w:rFonts w:ascii="宋体" w:eastAsia="宋体" w:hAnsi="宋体" w:hint="default"/>
                            </w:rPr>
                            <w:t xml:space="preserve">— </w:t>
                          </w:r>
                          <w:r>
                            <w:rPr>
                              <w:color w:val="auto"/>
                              <w:position w:val="0"/>
                              <w:sz w:val="21"/>
                              <w:szCs w:val="21"/>
                              <w:rFonts w:ascii="Calibri" w:eastAsia="Times New Roman" w:hAnsi="Times New Roman" w:hint="default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auto"/>
                              <w:position w:val="0"/>
                              <w:sz w:val="28"/>
                              <w:szCs w:val="28"/>
                              <w:rFonts w:ascii="宋体" w:eastAsia="宋体" w:hAnsi="宋体" w:hint="default"/>
                            </w:rPr>
                            <w:t>3</w:t>
                          </w:r>
                          <w:r>
                            <w:rPr>
                              <w:color w:val="auto"/>
                              <w:position w:val="0"/>
                              <w:sz w:val="28"/>
                              <w:szCs w:val="28"/>
                              <w:rFonts w:ascii="宋体" w:eastAsia="宋体" w:hAnsi="宋体" w:hint="default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position w:val="0"/>
                              <w:sz w:val="28"/>
                              <w:szCs w:val="28"/>
                              <w:rFonts w:ascii="宋体" w:eastAsia="宋体" w:hAnsi="宋体" w:hint="default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" style="position:absolute;left:0;margin-left:199pt;mso-position-horizontal:absolute;mso-position-horizontal-relative:margin;margin-top:0pt;mso-position-vertical:absolute;mso-position-vertical-relative:text;width:49.0pt;height:26.1pt;z-index:251624960;mso-wrap-style:none" coordsize="622300,332105" path="m,l622300,,622300,332105,,332105xe" stroked="f" filled="f">
              <v:textbox style="mso-fit-shape-to-text:t;" inset="0pt,0pt,0pt,0pt">
                <w:txbxContent>
                  <w:p>
                    <w:pPr>
                      <w:numPr>
                        <w:ilvl w:val="0"/>
                        <w:numId w:val="0"/>
                      </w:numPr>
                      <w:jc w:val="both"/>
                      <w:spacing w:lineRule="auto" w:line="240" w:before="0" w:after="160"/>
                      <w:ind w:right="0" w:firstLine="0"/>
                      <w:rPr>
                        <w:color w:val="auto"/>
                        <w:position w:val="0"/>
                        <w:sz w:val="18"/>
                        <w:szCs w:val="18"/>
                        <w:rFonts w:ascii="Calibri" w:eastAsia="宋体" w:hAnsi="宋体" w:hint="default"/>
                      </w:rPr>
                      <w:wordWrap w:val="off"/>
                    </w:pPr>
                    <w:r>
                      <w:rPr>
                        <w:color w:val="auto"/>
                        <w:position w:val="0"/>
                        <w:sz w:val="28"/>
                        <w:szCs w:val="28"/>
                        <w:rFonts w:ascii="宋体" w:eastAsia="宋体" w:hAnsi="宋体" w:hint="default"/>
                      </w:rPr>
                      <w:t xml:space="preserve">— </w:t>
                    </w:r>
                    <w:r>
                      <w:rPr>
                        <w:color w:val="auto"/>
                        <w:position w:val="0"/>
                        <w:sz w:val="21"/>
                        <w:szCs w:val="21"/>
                        <w:rFonts w:ascii="Calibri" w:eastAsia="Times New Roman" w:hAnsi="Times New Roman" w:hint="default"/>
                      </w:rP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>
                      <w:rPr>
                        <w:color w:val="auto"/>
                        <w:position w:val="0"/>
                        <w:sz w:val="28"/>
                        <w:szCs w:val="28"/>
                        <w:rFonts w:ascii="宋体" w:eastAsia="宋体" w:hAnsi="宋体" w:hint="default"/>
                      </w:rPr>
                      <w:t>3</w:t>
                    </w:r>
                    <w:r>
                      <w:rPr>
                        <w:color w:val="auto"/>
                        <w:position w:val="0"/>
                        <w:sz w:val="28"/>
                        <w:szCs w:val="28"/>
                        <w:rFonts w:ascii="宋体" w:eastAsia="宋体" w:hAnsi="宋体" w:hint="default"/>
                      </w:rPr>
                      <w:fldChar w:fldCharType="end"/>
                    </w:r>
                    <w:r>
                      <w:rPr>
                        <w:color w:val="auto"/>
                        <w:position w:val="0"/>
                        <w:sz w:val="28"/>
                        <w:szCs w:val="28"/>
                        <w:rFonts w:ascii="宋体" w:eastAsia="宋体" w:hAnsi="宋体" w:hint="default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qFormat/>
    <w:uiPriority w:val="7"/>
    <w:pPr>
      <w:ind w:firstLine="0"/>
      <w:keepLines/>
      <w:keepNext/>
      <w:widowControl/>
    </w:pPr>
    <w:rPr>
      <w:rFonts w:ascii="宋体" w:eastAsia="宋体" w:hAnsi="宋体"/>
      <w:b/>
      <w:sz w:val="44"/>
      <w:szCs w:val="44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uiPriority w:val="38"/>
    <w:pPr>
      <w:jc w:val="both"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footer"/>
    <w:basedOn w:val="PO1"/>
    <w:qFormat/>
    <w:uiPriority w:val="152"/>
    <w:pPr>
      <w:ind w:firstLine="0"/>
      <w:tabs>
        <w:tab w:val="center" w:pos="4153"/>
        <w:tab w:val="right" w:pos="8306"/>
      </w:tabs>
      <w:widowControl/>
    </w:pPr>
    <w:rPr>
      <w:rFonts w:ascii="宋体" w:eastAsia="宋体" w:hAnsi="宋体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15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9</Pages>
  <Paragraphs>0</Paragraphs>
  <Words>92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