
<file path=[Content_Types].xml><?xml version="1.0" encoding="utf-8"?>
<Types xmlns="http://schemas.openxmlformats.org/package/2006/content-types">
  <Default Extension="bin" ContentType="application/vnd.openxmlformats-officedocument.oleObject"/>
  <Default Extension="xml" ContentType="application/xml"/>
  <Default Extension="rels" ContentType="application/vnd.openxmlformats-package.relationships+xml"/>
  <Override PartName="/docProps/app.xml" ContentType="application/vnd.openxmlformats-officedocument.extended-properties+xml"/>
  <Override PartName="/docProps/core.xml" ContentType="application/vnd.openxmlformats-package.core-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document.xml" ContentType="application/vnd.openxmlformats-officedocument.wordprocessingml.document.main+xml"/>
  <Override PartName="/word/fontTable.xml" ContentType="application/vnd.openxmlformats-officedocument.wordprocessingml.fontTable+xml"/>
  <Override PartName="/word/header2.xml" ContentType="application/vnd.openxmlformats-officedocument.wordprocessingml.header+xml"/>
  <Override PartName="/word/header3.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4.xml" ContentType="application/vnd.openxmlformats-officedocument.wordprocessingml.header+xml"/>
  <Override PartName="/word/footer7.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numbering.xml" ContentType="application/vnd.openxmlformats-officedocument.wordprocessingml.numbering+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Relationship Id="rId2" Type="http://schemas.openxmlformats.org/officeDocument/2006/relationships/extended-properties" Target="docProps/app.xml"></Relationship><Relationship Id="rId3" Type="http://schemas.openxmlformats.org/officeDocument/2006/relationships/officeDocument" Target="word/document.xml"></Relationship></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xmlns:w14="http://schemas.microsoft.com/office/word/2010/wordml" xmlns:wpi="http://schemas.microsoft.com/office/word/2010/wordprocessingInk">
  <w:body>
    <w:tbl>
      <w:tblID w:val="0"/>
      <w:tblPr>
        <w:tblStyle w:val="PO37"/>
        <w:tblCellMar>
          <w:left w:w="108" w:type="dxa"/>
          <w:top w:w="0" w:type="dxa"/>
          <w:right w:w="108" w:type="dxa"/>
          <w:bottom w:w="0" w:type="dxa"/>
        </w:tblCellMar>
        <w:tblW w:w="14134" w:type="dxa"/>
        <w:jc w:val="center"/>
        <w:tblLook w:val="000000" w:firstRow="0" w:lastRow="0" w:firstColumn="0" w:lastColumn="0" w:noHBand="0" w:noVBand="0"/>
        <w:tblLayout w:type="fixed"/>
      </w:tblPr>
      <w:tblGrid>
        <w:gridCol w:w="4716"/>
        <w:gridCol w:w="624"/>
        <w:gridCol w:w="1485"/>
        <w:gridCol w:w="3331"/>
        <w:gridCol w:w="618"/>
        <w:gridCol w:w="1686"/>
        <w:gridCol w:w="1674"/>
      </w:tblGrid>
      <w:tr>
        <w:trPr>
          <w:cnfStyle w:val="000000100000" w:firstRow="0" w:lastRow="0" w:firstColumn="0" w:lastColumn="0" w:oddVBand="0" w:evenVBand="0" w:oddHBand="1" w:evenHBand="0" w:firstRowFirstColumn="0" w:firstRowLastColumn="0" w:lastRowFirstColumn="0" w:lastRowLastColumn="0"/>
          <w:trHeight w:hRule="atleast" w:val="79"/>
          <w:hidden w:val="0"/>
        </w:trPr>
        <w:tc>
          <w:tcPr>
            <w:tcW w:type="dxa" w:w="12460"/>
            <w:cnfStyle w:val="000010100000" w:firstRow="0" w:lastRow="0" w:firstColumn="0" w:lastColumn="0" w:oddVBand="1" w:evenVBand="0" w:oddHBand="1" w:evenHBand="0" w:firstRowFirstColumn="0" w:firstRowLastColumn="0" w:lastRowFirstColumn="0" w:lastRowLastColumn="0"/>
            <w:vAlign w:val="center"/>
            <w:gridSpan w:val="6"/>
            <w:tcBorders>
              <w:bottom w:val="nil" w:color="auto"/>
              <w:left w:val="nil" w:color="auto"/>
              <w:right w:val="nil" w:color="auto"/>
              <w:top w:val="nil" w:color="auto"/>
            </w:tcBorders>
            <w:shd w:val="clear" w:color="000000"/>
          </w:tcPr>
          <w:p>
            <w:pPr>
              <w:numPr>
                <w:ilvl w:val="0"/>
                <w:numId w:val="0"/>
              </w:numPr>
              <w:jc w:val="center"/>
              <w:spacing w:lineRule="exact" w:line="580" w:before="120" w:after="160"/>
              <w:ind w:right="0" w:firstLine="0"/>
              <w:rPr>
                <w:b w:val="1"/>
                <w:color w:val="000000"/>
                <w:position w:val="0"/>
                <w:sz w:val="44"/>
                <w:szCs w:val="44"/>
                <w:rFonts w:ascii="黑体" w:eastAsia="黑体" w:hAnsi="黑体" w:hint="default"/>
              </w:rPr>
              <w:outlineLvl w:val="1"/>
              <w:autoSpaceDE w:val="1"/>
              <w:autoSpaceDN w:val="1"/>
            </w:pPr>
            <w:r>
              <w:rPr>
                <w:b w:val="1"/>
                <w:color w:val="000000"/>
                <w:position w:val="0"/>
                <w:sz w:val="44"/>
                <w:szCs w:val="44"/>
                <w:rFonts w:ascii="黑体" w:eastAsia="黑体" w:hAnsi="黑体" w:hint="default"/>
              </w:rPr>
              <w:t xml:space="preserve">第二部分  2018年度本级决算表</w:t>
            </w:r>
          </w:p>
          <w:p>
            <w:pPr>
              <w:numPr>
                <w:ilvl w:val="0"/>
                <w:numId w:val="0"/>
              </w:numPr>
              <w:jc w:val="center"/>
              <w:spacing w:lineRule="auto" w:line="240" w:before="0" w:after="160"/>
              <w:ind w:right="0" w:firstLine="0"/>
              <w:rPr>
                <w:b w:val="1"/>
                <w:color w:val="000000"/>
                <w:position w:val="0"/>
                <w:sz w:val="44"/>
                <w:szCs w:val="44"/>
                <w:rFonts w:ascii="宋体" w:eastAsia="Arial" w:hAnsi="Arial" w:hint="default"/>
              </w:rPr>
              <w:autoSpaceDE w:val="1"/>
              <w:autoSpaceDN w:val="1"/>
            </w:pPr>
            <w:r>
              <w:rPr>
                <w:b w:val="1"/>
                <w:color w:val="000000"/>
                <w:position w:val="0"/>
                <w:sz w:val="36"/>
                <w:szCs w:val="36"/>
                <w:rFonts w:ascii="宋体" w:eastAsia="Arial" w:hAnsi="Arial" w:hint="default"/>
              </w:rPr>
              <w:t>收入支出决算总表</w:t>
            </w:r>
          </w:p>
        </w:tc>
        <w:tc>
          <w:tcPr>
            <w:tcW w:type="dxa" w:w="1674"/>
            <w:cnfStyle w:val="000001100000" w:firstRow="0" w:lastRow="0" w:firstColumn="0" w:lastColumn="0" w:oddVBand="0" w:evenVBand="1" w:oddHBand="1" w:evenHBand="0"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b w:val="1"/>
                <w:color w:val="000000"/>
                <w:position w:val="0"/>
                <w:sz w:val="36"/>
                <w:szCs w:val="36"/>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0"/>
                <w:szCs w:val="20"/>
                <w:rFonts w:ascii="Arial" w:eastAsia="Arial" w:hAnsi="Arial" w:hint="default"/>
              </w:rPr>
              <w:autoSpaceDE w:val="1"/>
              <w:autoSpaceDN w:val="1"/>
            </w:pP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0"/>
                <w:szCs w:val="20"/>
                <w:rFonts w:ascii="Arial" w:eastAsia="Arial" w:hAnsi="Arial" w:hint="default"/>
              </w:rPr>
              <w:autoSpaceDE w:val="1"/>
              <w:autoSpaceDN w:val="1"/>
            </w:pP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0"/>
                <w:szCs w:val="20"/>
                <w:rFonts w:ascii="Arial" w:eastAsia="Arial" w:hAnsi="Arial" w:hint="default"/>
              </w:rPr>
              <w:autoSpaceDE w:val="1"/>
              <w:autoSpaceDN w:val="1"/>
            </w:pP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0"/>
                <w:szCs w:val="20"/>
                <w:rFonts w:ascii="Arial" w:eastAsia="Arial" w:hAnsi="Arial" w:hint="default"/>
              </w:rPr>
              <w:autoSpaceDE w:val="1"/>
              <w:autoSpaceDN w:val="1"/>
            </w:pP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0"/>
                <w:szCs w:val="20"/>
                <w:rFonts w:ascii="Arial" w:eastAsia="Arial" w:hAnsi="Arial" w:hint="default"/>
              </w:rPr>
              <w:autoSpaceDE w:val="1"/>
              <w:autoSpaceDN w:val="1"/>
            </w:pP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24"/>
                <w:szCs w:val="24"/>
                <w:rFonts w:ascii="宋体" w:eastAsia="Arial" w:hAnsi="Arial" w:hint="default"/>
              </w:rPr>
              <w:autoSpaceDE w:val="1"/>
              <w:autoSpaceDN w:val="1"/>
            </w:pPr>
            <w:r>
              <w:rPr>
                <w:color w:val="000000"/>
                <w:position w:val="0"/>
                <w:sz w:val="24"/>
                <w:szCs w:val="24"/>
                <w:rFonts w:ascii="宋体" w:eastAsia="Arial" w:hAnsi="Arial" w:hint="default"/>
              </w:rPr>
              <w:t>公开01表</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24"/>
                <w:szCs w:val="24"/>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4"/>
                <w:szCs w:val="24"/>
                <w:rFonts w:ascii="宋体" w:eastAsia="Arial" w:hAnsi="Arial" w:hint="default"/>
              </w:rPr>
              <w:autoSpaceDE w:val="1"/>
              <w:autoSpaceDN w:val="1"/>
            </w:pPr>
            <w:r>
              <w:rPr>
                <w:color w:val="000000"/>
                <w:position w:val="0"/>
                <w:sz w:val="24"/>
                <w:szCs w:val="24"/>
                <w:rFonts w:ascii="宋体" w:eastAsia="Arial" w:hAnsi="Arial" w:hint="default"/>
              </w:rPr>
              <w:t>公开部门：宁夏回族自治区商务厅本级</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0"/>
                <w:szCs w:val="20"/>
                <w:rFonts w:ascii="Arial" w:eastAsia="Arial" w:hAnsi="Arial" w:hint="default"/>
              </w:rPr>
              <w:autoSpaceDE w:val="1"/>
              <w:autoSpaceDN w:val="1"/>
            </w:pP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0"/>
                <w:szCs w:val="20"/>
                <w:rFonts w:ascii="Arial" w:eastAsia="Arial" w:hAnsi="Arial" w:hint="default"/>
              </w:rPr>
              <w:autoSpaceDE w:val="1"/>
              <w:autoSpaceDN w:val="1"/>
            </w:pP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0"/>
                <w:szCs w:val="20"/>
                <w:rFonts w:ascii="Arial" w:eastAsia="Arial" w:hAnsi="Arial" w:hint="default"/>
              </w:rPr>
              <w:autoSpaceDE w:val="1"/>
              <w:autoSpaceDN w:val="1"/>
            </w:pP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0"/>
                <w:szCs w:val="20"/>
                <w:rFonts w:ascii="Arial" w:eastAsia="Arial" w:hAnsi="Arial" w:hint="default"/>
              </w:rPr>
              <w:autoSpaceDE w:val="1"/>
              <w:autoSpaceDN w:val="1"/>
            </w:pP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24"/>
                <w:szCs w:val="24"/>
                <w:rFonts w:ascii="宋体" w:eastAsia="Arial" w:hAnsi="Arial" w:hint="default"/>
              </w:rPr>
              <w:autoSpaceDE w:val="1"/>
              <w:autoSpaceDN w:val="1"/>
            </w:pPr>
            <w:r>
              <w:rPr>
                <w:color w:val="000000"/>
                <w:position w:val="0"/>
                <w:sz w:val="24"/>
                <w:szCs w:val="24"/>
                <w:rFonts w:ascii="宋体" w:eastAsia="Arial" w:hAnsi="Arial" w:hint="default"/>
              </w:rPr>
              <w:t>金额单位：元</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24"/>
                <w:szCs w:val="24"/>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6825"/>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4"/>
              <w:left w:val="single" w:color="000000" w:sz="8"/>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收入</w:t>
            </w:r>
          </w:p>
        </w:tc>
        <w:tc>
          <w:tcPr>
            <w:tcW w:type="dxa" w:w="5635"/>
            <w:cnfStyle w:val="000001010000" w:firstRow="0" w:lastRow="0" w:firstColumn="0" w:lastColumn="0" w:oddVBand="0" w:evenVBand="1" w:oddHBand="0" w:evenHBand="1" w:firstRowFirstColumn="0" w:firstRowLastColumn="0" w:lastRowFirstColumn="0" w:lastRowLastColumn="0"/>
            <w:vAlign w:val="center"/>
            <w:gridSpan w:val="3"/>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支出</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项目</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行次</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决算数</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项目(按功能分类)</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行次</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决算数</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栏次</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栏次</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一、财政拨款收入</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69,754,768.78</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一、一般公共服务支出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28</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34,359,553.33</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其中：政府性基金预算财政拨款</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二、外交支出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29</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二、上级补助收入</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三、国防支出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30</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三、事业收入</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四、公共安全支出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31</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四、经营收入</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五、教育支出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32</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五、附属单位上缴收入</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6</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六、科学技术支出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33</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六、其他收入</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7</w:t>
            </w:r>
          </w:p>
        </w:tc>
        <w:tc>
          <w:tcPr>
            <w:tcW w:type="dxa" w:w="1485"/>
            <w:cnfStyle w:val="000010100000" w:firstRow="0" w:lastRow="0" w:firstColumn="0" w:lastColumn="0" w:oddVBand="1" w:evenVBand="0" w:oddHBand="1" w:evenHBand="0" w:firstRowFirstColumn="0" w:firstRowLastColumn="0" w:lastRowFirstColumn="0" w:lastRowLastColumn="0"/>
            <w:vAlign w:val="top"/>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53,316.53</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七、文化体育与传媒支出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34</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8</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八、社会保障和就业支出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35</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6,323,673.20</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9</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九、医疗卫生与计划生育支出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36</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1,056,771.40</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10</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十、节能环保支出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37</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11</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十一、城乡社区支出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38</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12</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十二、农林水支出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39</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13</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十三、交通运输支出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40</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　</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14</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十四、资源勘探信息等支出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41</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15</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十五、商业服务业等支出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42</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5,196,901.60</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19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16</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十六、金融支出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43</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17</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十七、援助其他地区支出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44</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18</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十八、国土海洋气象等支出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45</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19</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十九、住房保障支出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46</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1,534,194.00</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20</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二十、粮油物资储备支出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47</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21</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二十一、其他支出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48</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22</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二十二、债务还本支出</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49</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23</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nil" w:color="auto"/>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二十三、债务付息支出</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50</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nil" w:color="auto"/>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nil" w:color="auto"/>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66"/>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b w:val="1"/>
                <w:color w:val="000000"/>
                <w:position w:val="0"/>
                <w:sz w:val="18"/>
                <w:szCs w:val="18"/>
                <w:rFonts w:ascii="宋体" w:eastAsia="Arial" w:hAnsi="Arial" w:hint="default"/>
              </w:rPr>
              <w:autoSpaceDE w:val="1"/>
              <w:autoSpaceDN w:val="1"/>
            </w:pPr>
            <w:r>
              <w:rPr>
                <w:b w:val="1"/>
                <w:color w:val="000000"/>
                <w:position w:val="0"/>
                <w:sz w:val="18"/>
                <w:szCs w:val="18"/>
                <w:rFonts w:ascii="宋体" w:eastAsia="Arial" w:hAnsi="Arial" w:hint="default"/>
              </w:rPr>
              <w:t>本年收入合计</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24</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69，808，</w:t>
            </w:r>
            <w:r>
              <w:rPr>
                <w:color w:val="000000"/>
                <w:position w:val="0"/>
                <w:sz w:val="18"/>
                <w:szCs w:val="18"/>
                <w:rFonts w:ascii="宋体" w:eastAsia="宋体" w:hAnsi="宋体" w:hint="default"/>
              </w:rPr>
              <w:t>085.31　</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b w:val="1"/>
                <w:color w:val="000000"/>
                <w:position w:val="0"/>
                <w:sz w:val="18"/>
                <w:szCs w:val="18"/>
                <w:rFonts w:ascii="宋体" w:eastAsia="Arial" w:hAnsi="Arial" w:hint="default"/>
              </w:rPr>
              <w:autoSpaceDE w:val="1"/>
              <w:autoSpaceDN w:val="1"/>
            </w:pPr>
            <w:r>
              <w:rPr>
                <w:b w:val="1"/>
                <w:color w:val="000000"/>
                <w:position w:val="0"/>
                <w:sz w:val="18"/>
                <w:szCs w:val="18"/>
                <w:rFonts w:ascii="宋体" w:eastAsia="Arial" w:hAnsi="Arial" w:hint="default"/>
              </w:rPr>
              <w:t>本年支出合计</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51</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53，574，561.53</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b w:val="1"/>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xml:space="preserve">    用事业基金弥补收支差额</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25</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　</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xml:space="preserve">    结余分配</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52</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exact" w:val="285"/>
          <w:hidden w:val="0"/>
        </w:trPr>
        <w:tc>
          <w:tcPr>
            <w:tcW w:type="dxa" w:w="4716"/>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xml:space="preserve">    年初结转和结余</w:t>
            </w:r>
          </w:p>
        </w:tc>
        <w:tc>
          <w:tcPr>
            <w:tcW w:type="dxa" w:w="624"/>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26</w:t>
            </w:r>
          </w:p>
        </w:tc>
        <w:tc>
          <w:tcPr>
            <w:tcW w:type="dxa" w:w="148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18,612,019.37</w:t>
            </w:r>
          </w:p>
        </w:tc>
        <w:tc>
          <w:tcPr>
            <w:tcW w:type="dxa" w:w="3331"/>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single" w:color="auto" w:sz="4"/>
              <w:right w:val="single" w:color="auto"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xml:space="preserve">    年末结转和结余</w:t>
            </w:r>
          </w:p>
        </w:tc>
        <w:tc>
          <w:tcPr>
            <w:tcW w:type="dxa" w:w="61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53</w:t>
            </w:r>
          </w:p>
        </w:tc>
        <w:tc>
          <w:tcPr>
            <w:tcW w:type="dxa" w:w="1686"/>
            <w:cnfStyle w:val="000001010000" w:firstRow="0" w:lastRow="0" w:firstColumn="0" w:lastColumn="0" w:oddVBand="0" w:evenVBand="1" w:oddHBand="0" w:evenHBand="1" w:firstRowFirstColumn="0" w:firstRowLastColumn="0" w:lastRowFirstColumn="0" w:lastRowLastColumn="0"/>
            <w:vAlign w:val="center"/>
            <w:tcBorders>
              <w:bottom w:val="single" w:color="auto" w:sz="4"/>
              <w:left w:val="single" w:color="auto" w:sz="4"/>
              <w:right w:val="single" w:color="auto"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34,845,543.15</w:t>
            </w:r>
          </w:p>
        </w:tc>
        <w:tc>
          <w:tcPr>
            <w:tcW w:type="dxa" w:w="1674"/>
            <w:cnfStyle w:val="000010010000" w:firstRow="0" w:lastRow="0" w:firstColumn="0" w:lastColumn="0" w:oddVBand="1" w:evenVBand="0" w:oddHBand="0" w:evenHBand="1" w:firstRowFirstColumn="0" w:firstRowLastColumn="0" w:lastRowFirstColumn="0" w:lastRowLastColumn="0"/>
            <w:vAlign w:val="center"/>
            <w:tcBorders>
              <w:bottom w:val="single" w:color="auto" w:sz="4"/>
              <w:left w:val="single" w:color="auto" w:sz="4"/>
              <w:right w:val="single" w:color="auto"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exact" w:val="266"/>
          <w:hidden w:val="0"/>
        </w:trPr>
        <w:tc>
          <w:tcPr>
            <w:tcW w:type="dxa" w:w="4716"/>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b w:val="1"/>
                <w:color w:val="000000"/>
                <w:position w:val="0"/>
                <w:sz w:val="18"/>
                <w:szCs w:val="18"/>
                <w:rFonts w:ascii="宋体" w:eastAsia="Arial" w:hAnsi="Arial" w:hint="default"/>
              </w:rPr>
              <w:autoSpaceDE w:val="1"/>
              <w:autoSpaceDN w:val="1"/>
            </w:pPr>
            <w:r>
              <w:rPr>
                <w:b w:val="1"/>
                <w:color w:val="000000"/>
                <w:position w:val="0"/>
                <w:sz w:val="18"/>
                <w:szCs w:val="18"/>
                <w:rFonts w:ascii="宋体" w:eastAsia="Arial" w:hAnsi="Arial" w:hint="default"/>
              </w:rPr>
              <w:t>总计</w:t>
            </w:r>
          </w:p>
        </w:tc>
        <w:tc>
          <w:tcPr>
            <w:tcW w:type="dxa" w:w="624"/>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27</w:t>
            </w:r>
          </w:p>
        </w:tc>
        <w:tc>
          <w:tcPr>
            <w:tcW w:type="dxa" w:w="148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88，420，</w:t>
            </w:r>
            <w:r>
              <w:rPr>
                <w:color w:val="000000"/>
                <w:position w:val="0"/>
                <w:sz w:val="18"/>
                <w:szCs w:val="18"/>
                <w:rFonts w:ascii="宋体" w:eastAsia="宋体" w:hAnsi="宋体" w:hint="default"/>
              </w:rPr>
              <w:t>104.68</w:t>
            </w:r>
          </w:p>
        </w:tc>
        <w:tc>
          <w:tcPr>
            <w:tcW w:type="dxa" w:w="3331"/>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b w:val="1"/>
                <w:color w:val="000000"/>
                <w:position w:val="0"/>
                <w:sz w:val="18"/>
                <w:szCs w:val="18"/>
                <w:rFonts w:ascii="宋体" w:eastAsia="Arial" w:hAnsi="Arial" w:hint="default"/>
              </w:rPr>
              <w:autoSpaceDE w:val="1"/>
              <w:autoSpaceDN w:val="1"/>
            </w:pPr>
            <w:r>
              <w:rPr>
                <w:b w:val="1"/>
                <w:color w:val="000000"/>
                <w:position w:val="0"/>
                <w:sz w:val="18"/>
                <w:szCs w:val="18"/>
                <w:rFonts w:ascii="宋体" w:eastAsia="Arial" w:hAnsi="Arial" w:hint="default"/>
              </w:rPr>
              <w:t>总计</w:t>
            </w:r>
          </w:p>
        </w:tc>
        <w:tc>
          <w:tcPr>
            <w:tcW w:type="dxa" w:w="61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54</w:t>
            </w:r>
          </w:p>
        </w:tc>
        <w:tc>
          <w:tcPr>
            <w:tcW w:type="dxa" w:w="1686"/>
            <w:cnfStyle w:val="000001100000" w:firstRow="0" w:lastRow="0" w:firstColumn="0" w:lastColumn="0" w:oddVBand="0" w:evenVBand="1" w:oddHBand="1" w:evenHBand="0" w:firstRowFirstColumn="0" w:firstRowLastColumn="0" w:lastRowFirstColumn="0" w:lastRowLastColumn="0"/>
            <w:vAlign w:val="center"/>
            <w:tcBorders>
              <w:bottom w:val="single" w:color="auto" w:sz="4"/>
              <w:left w:val="single" w:color="auto" w:sz="4"/>
              <w:right w:val="single" w:color="auto"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88，420，104.68</w:t>
            </w:r>
          </w:p>
        </w:tc>
        <w:tc>
          <w:tcPr>
            <w:tcW w:type="dxa" w:w="1674"/>
            <w:cnfStyle w:val="000010100000" w:firstRow="0" w:lastRow="0" w:firstColumn="0" w:lastColumn="0" w:oddVBand="1" w:evenVBand="0" w:oddHBand="1" w:evenHBand="0" w:firstRowFirstColumn="0" w:firstRowLastColumn="0" w:lastRowFirstColumn="0" w:lastRowLastColumn="0"/>
            <w:vAlign w:val="center"/>
            <w:tcBorders>
              <w:bottom w:val="single" w:color="auto" w:sz="4"/>
              <w:left w:val="single" w:color="auto" w:sz="4"/>
              <w:right w:val="single" w:color="auto" w:sz="4"/>
              <w:top w:val="nil" w:color="auto"/>
            </w:tcBorders>
            <w:shd w:val="clear" w:color="000000"/>
          </w:tcPr>
          <w:p>
            <w:pPr>
              <w:numPr>
                <w:ilvl w:val="0"/>
                <w:numId w:val="0"/>
              </w:numPr>
              <w:jc w:val="right"/>
              <w:spacing w:lineRule="auto" w:line="240" w:before="0" w:after="160"/>
              <w:ind w:right="0" w:firstLine="0"/>
              <w:rPr>
                <w:b w:val="1"/>
                <w:color w:val="000000"/>
                <w:position w:val="0"/>
                <w:sz w:val="18"/>
                <w:szCs w:val="18"/>
                <w:rFonts w:ascii="宋体" w:eastAsia="Arial" w:hAnsi="Arial" w:hint="default"/>
              </w:rPr>
              <w:autoSpaceDE w:val="1"/>
              <w:autoSpaceDN w:val="1"/>
            </w:pPr>
          </w:p>
        </w:tc>
      </w:tr>
    </w:tbl>
    <w:p>
      <w:pPr>
        <w:numPr>
          <w:ilvl w:val="0"/>
          <w:numId w:val="0"/>
        </w:numPr>
        <w:jc w:val="left"/>
        <w:spacing w:lineRule="atLeast" w:line="240" w:before="0" w:after="160"/>
        <w:ind w:right="0" w:firstLine="0"/>
        <w:rPr>
          <w:color w:val="auto"/>
          <w:position w:val="0"/>
          <w:sz w:val="21"/>
          <w:szCs w:val="21"/>
          <w:rFonts w:ascii="Calibri" w:eastAsia="宋体" w:hAnsi="宋体" w:hint="default"/>
        </w:rPr>
        <w:autoSpaceDE w:val="1"/>
        <w:autoSpaceDN w:val="1"/>
      </w:pPr>
      <w:r>
        <w:rPr>
          <w:color w:val="000000"/>
          <w:position w:val="0"/>
          <w:sz w:val="18"/>
          <w:szCs w:val="18"/>
          <w:rFonts w:ascii="宋体" w:eastAsia="Arial" w:hAnsi="Arial" w:hint="default"/>
        </w:rPr>
        <w:t>注：本表反映部门本年度的总收支和年末结余结转情况，数据取自财决01表</w:t>
      </w:r>
    </w:p>
    <w:tbl>
      <w:tblID w:val="0"/>
      <w:tblPr>
        <w:tblStyle w:val="PO37"/>
        <w:tblCellMar>
          <w:left w:w="108" w:type="dxa"/>
          <w:top w:w="0" w:type="dxa"/>
          <w:right w:w="108" w:type="dxa"/>
          <w:bottom w:w="0" w:type="dxa"/>
        </w:tblCellMar>
        <w:tblW w:w="13703" w:type="dxa"/>
        <w:tblInd w:w="88" w:type="dxa"/>
        <w:tblLook w:val="000000" w:firstRow="0" w:lastRow="0" w:firstColumn="0" w:lastColumn="0" w:noHBand="0" w:noVBand="0"/>
        <w:tblLayout w:type="fixed"/>
      </w:tblPr>
      <w:tblGrid>
        <w:gridCol w:w="440"/>
        <w:gridCol w:w="440"/>
        <w:gridCol w:w="440"/>
        <w:gridCol w:w="3308"/>
        <w:gridCol w:w="1665"/>
        <w:gridCol w:w="1665"/>
        <w:gridCol w:w="997"/>
        <w:gridCol w:w="1005"/>
        <w:gridCol w:w="900"/>
        <w:gridCol w:w="1545"/>
        <w:gridCol w:w="1298"/>
      </w:tblGrid>
      <w:tr>
        <w:trPr>
          <w:cnfStyle w:val="000000100000" w:firstRow="0" w:lastRow="0" w:firstColumn="0" w:lastColumn="0" w:oddVBand="0" w:evenVBand="0" w:oddHBand="1" w:evenHBand="0" w:firstRowFirstColumn="0" w:firstRowLastColumn="0" w:lastRowFirstColumn="0" w:lastRowLastColumn="0"/>
          <w:trHeight w:hRule="atleast" w:val="1110"/>
          <w:hidden w:val="0"/>
        </w:trPr>
        <w:tc>
          <w:tcPr>
            <w:tcW w:type="dxa" w:w="13703"/>
            <w:cnfStyle w:val="000010100000" w:firstRow="0" w:lastRow="0" w:firstColumn="0" w:lastColumn="0" w:oddVBand="1" w:evenVBand="0" w:oddHBand="1" w:evenHBand="0" w:firstRowFirstColumn="0" w:firstRowLastColumn="0" w:lastRowFirstColumn="0" w:lastRowLastColumn="0"/>
            <w:vAlign w:val="bottom"/>
            <w:gridSpan w:val="11"/>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b w:val="1"/>
                <w:color w:val="000000"/>
                <w:position w:val="0"/>
                <w:sz w:val="36"/>
                <w:szCs w:val="36"/>
                <w:rFonts w:ascii="宋体" w:eastAsia="Arial" w:hAnsi="Arial" w:hint="default"/>
              </w:rPr>
              <w:autoSpaceDE w:val="1"/>
              <w:autoSpaceDN w:val="1"/>
            </w:pPr>
            <w:r>
              <w:rPr>
                <w:b w:val="1"/>
                <w:color w:val="000000"/>
                <w:position w:val="0"/>
                <w:sz w:val="36"/>
                <w:szCs w:val="36"/>
                <w:rFonts w:ascii="宋体" w:eastAsia="Arial" w:hAnsi="Arial" w:hint="default"/>
              </w:rPr>
              <w:t>收入决算表</w:t>
            </w:r>
          </w:p>
        </w:tc>
      </w:tr>
      <w:tr>
        <w:trPr>
          <w:cnfStyle w:val="000000010000" w:firstRow="0" w:lastRow="0" w:firstColumn="0" w:lastColumn="0" w:oddVBand="0" w:evenVBand="0" w:oddHBand="0" w:evenHBand="1" w:firstRowFirstColumn="0" w:firstRowLastColumn="0" w:lastRowFirstColumn="0" w:lastRowLastColumn="0"/>
          <w:trHeight w:hRule="atleast" w:val="300"/>
          <w:hidden w:val="0"/>
        </w:trPr>
        <w:tc>
          <w:tcPr>
            <w:tcW w:type="dxa" w:w="440"/>
            <w:cnfStyle w:val="000010010000" w:firstRow="0" w:lastRow="0" w:firstColumn="0" w:lastColumn="0" w:oddVBand="1" w:evenVBand="0"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440"/>
            <w:cnfStyle w:val="000001010000" w:firstRow="0" w:lastRow="0" w:firstColumn="0" w:lastColumn="0" w:oddVBand="0" w:evenVBand="1"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440"/>
            <w:cnfStyle w:val="000010010000" w:firstRow="0" w:lastRow="0" w:firstColumn="0" w:lastColumn="0" w:oddVBand="1" w:evenVBand="0"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3308"/>
            <w:cnfStyle w:val="000001010000" w:firstRow="0" w:lastRow="0" w:firstColumn="0" w:lastColumn="0" w:oddVBand="0" w:evenVBand="1"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65"/>
            <w:cnfStyle w:val="000010010000" w:firstRow="0" w:lastRow="0" w:firstColumn="0" w:lastColumn="0" w:oddVBand="1" w:evenVBand="0"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65"/>
            <w:cnfStyle w:val="000001010000" w:firstRow="0" w:lastRow="0" w:firstColumn="0" w:lastColumn="0" w:oddVBand="0" w:evenVBand="1"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97"/>
            <w:cnfStyle w:val="000010010000" w:firstRow="0" w:lastRow="0" w:firstColumn="0" w:lastColumn="0" w:oddVBand="1" w:evenVBand="0"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公开02表</w:t>
            </w:r>
          </w:p>
        </w:tc>
      </w:tr>
      <w:tr>
        <w:trPr>
          <w:cnfStyle w:val="000000100000" w:firstRow="0" w:lastRow="0" w:firstColumn="0" w:lastColumn="0" w:oddVBand="0" w:evenVBand="0" w:oddHBand="1" w:evenHBand="0" w:firstRowFirstColumn="0" w:firstRowLastColumn="0" w:lastRowFirstColumn="0" w:lastRowLastColumn="0"/>
          <w:trHeight w:hRule="atleast" w:val="315"/>
          <w:hidden w:val="0"/>
        </w:trPr>
        <w:tc>
          <w:tcPr>
            <w:tcW w:type="dxa" w:w="4628"/>
            <w:cnfStyle w:val="000010100000" w:firstRow="0" w:lastRow="0" w:firstColumn="0" w:lastColumn="0" w:oddVBand="1" w:evenVBand="0" w:oddHBand="1" w:evenHBand="0" w:firstRowFirstColumn="0" w:firstRowLastColumn="0" w:lastRowFirstColumn="0" w:lastRowLastColumn="0"/>
            <w:vAlign w:val="bottom"/>
            <w:gridSpan w:val="4"/>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24"/>
                <w:szCs w:val="24"/>
                <w:rFonts w:ascii="宋体" w:eastAsia="宋体" w:hAnsi="宋体" w:hint="default"/>
              </w:rPr>
              <w:t>公开部门：</w:t>
            </w:r>
            <w:r>
              <w:rPr>
                <w:color w:val="000000"/>
                <w:position w:val="0"/>
                <w:sz w:val="24"/>
                <w:szCs w:val="24"/>
                <w:rFonts w:ascii="宋体" w:eastAsia="Arial" w:hAnsi="Arial" w:hint="default"/>
              </w:rPr>
              <w:t>宁夏回族自治区商务厅本级</w:t>
            </w:r>
          </w:p>
        </w:tc>
        <w:tc>
          <w:tcPr>
            <w:tcW w:type="dxa" w:w="1665"/>
            <w:cnfStyle w:val="000001100000" w:firstRow="0" w:lastRow="0" w:firstColumn="0" w:lastColumn="0" w:oddVBand="0" w:evenVBand="1" w:oddHBand="1" w:evenHBand="0"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65"/>
            <w:cnfStyle w:val="000010100000" w:firstRow="0" w:lastRow="0" w:firstColumn="0" w:lastColumn="0" w:oddVBand="1" w:evenVBand="0" w:oddHBand="1" w:evenHBand="0"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97"/>
            <w:cnfStyle w:val="000001100000" w:firstRow="0" w:lastRow="0" w:firstColumn="0" w:lastColumn="0" w:oddVBand="0" w:evenVBand="1" w:oddHBand="1" w:evenHBand="0"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10100000" w:firstRow="0" w:lastRow="0" w:firstColumn="0" w:lastColumn="0" w:oddVBand="1" w:evenVBand="0" w:oddHBand="1" w:evenHBand="0"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01100000" w:firstRow="0" w:lastRow="0" w:firstColumn="0" w:lastColumn="0" w:oddVBand="0" w:evenVBand="1" w:oddHBand="1" w:evenHBand="0"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10100000" w:firstRow="0" w:lastRow="0" w:firstColumn="0" w:lastColumn="0" w:oddVBand="1" w:evenVBand="0" w:oddHBand="1" w:evenHBand="0"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01100000" w:firstRow="0" w:lastRow="0" w:firstColumn="0" w:lastColumn="0" w:oddVBand="0" w:evenVBand="1" w:oddHBand="1" w:evenHBand="0" w:firstRowFirstColumn="0" w:firstRowLastColumn="0" w:lastRowFirstColumn="0" w:lastRowLastColumn="0"/>
            <w:vAlign w:val="bottom"/>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金额单位：元</w:t>
            </w: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4628"/>
            <w:cnfStyle w:val="000010010000" w:firstRow="0" w:lastRow="0" w:firstColumn="0" w:lastColumn="0" w:oddVBand="1" w:evenVBand="0" w:oddHBand="0" w:evenHBand="1" w:firstRowFirstColumn="0" w:firstRowLastColumn="0" w:lastRowFirstColumn="0" w:lastRowLastColumn="0"/>
            <w:vAlign w:val="center"/>
            <w:gridSpan w:val="4"/>
            <w:tcBorders>
              <w:bottom w:val="single" w:color="000000" w:sz="4"/>
              <w:left w:val="single" w:color="000000" w:sz="8"/>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项目</w:t>
            </w:r>
          </w:p>
        </w:tc>
        <w:tc>
          <w:tcPr>
            <w:tcW w:type="dxa" w:w="1665"/>
            <w:cnfStyle w:val="000001010000" w:firstRow="0" w:lastRow="0" w:firstColumn="0" w:lastColumn="0" w:oddVBand="0" w:evenVBand="1" w:oddHBand="0" w:evenHBand="1" w:firstRowFirstColumn="0" w:firstRowLastColumn="0" w:lastRowFirstColumn="0" w:lastRowLastColumn="0"/>
            <w:vAlign w:val="center"/>
            <w:vMerge w:val="restart"/>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本年收入合计</w:t>
            </w:r>
          </w:p>
        </w:tc>
        <w:tc>
          <w:tcPr>
            <w:tcW w:type="dxa" w:w="1665"/>
            <w:cnfStyle w:val="000010010000" w:firstRow="0" w:lastRow="0" w:firstColumn="0" w:lastColumn="0" w:oddVBand="1" w:evenVBand="0" w:oddHBand="0" w:evenHBand="1" w:firstRowFirstColumn="0" w:firstRowLastColumn="0" w:lastRowFirstColumn="0" w:lastRowLastColumn="0"/>
            <w:vAlign w:val="center"/>
            <w:vMerge w:val="restart"/>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财政拨款收入</w:t>
            </w:r>
          </w:p>
        </w:tc>
        <w:tc>
          <w:tcPr>
            <w:tcW w:type="dxa" w:w="997"/>
            <w:cnfStyle w:val="000001010000" w:firstRow="0" w:lastRow="0" w:firstColumn="0" w:lastColumn="0" w:oddVBand="0" w:evenVBand="1" w:oddHBand="0" w:evenHBand="1" w:firstRowFirstColumn="0" w:firstRowLastColumn="0" w:lastRowFirstColumn="0" w:lastRowLastColumn="0"/>
            <w:vAlign w:val="center"/>
            <w:vMerge w:val="restart"/>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上级补助</w:t>
            </w:r>
            <w:r>
              <w:rPr>
                <w:color w:val="000000"/>
                <w:position w:val="0"/>
                <w:sz w:val="18"/>
                <w:szCs w:val="18"/>
                <w:rFonts w:ascii="宋体" w:eastAsia="宋体" w:hAnsi="宋体" w:hint="default"/>
              </w:rPr>
              <w:t>收入</w:t>
            </w:r>
          </w:p>
        </w:tc>
        <w:tc>
          <w:tcPr>
            <w:tcW w:type="dxa" w:w="1005"/>
            <w:cnfStyle w:val="000010010000" w:firstRow="0" w:lastRow="0" w:firstColumn="0" w:lastColumn="0" w:oddVBand="1" w:evenVBand="0" w:oddHBand="0" w:evenHBand="1" w:firstRowFirstColumn="0" w:firstRowLastColumn="0" w:lastRowFirstColumn="0" w:lastRowLastColumn="0"/>
            <w:vAlign w:val="center"/>
            <w:vMerge w:val="restart"/>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事业收入</w:t>
            </w:r>
          </w:p>
        </w:tc>
        <w:tc>
          <w:tcPr>
            <w:tcW w:type="dxa" w:w="900"/>
            <w:cnfStyle w:val="000001010000" w:firstRow="0" w:lastRow="0" w:firstColumn="0" w:lastColumn="0" w:oddVBand="0" w:evenVBand="1" w:oddHBand="0" w:evenHBand="1" w:firstRowFirstColumn="0" w:firstRowLastColumn="0" w:lastRowFirstColumn="0" w:lastRowLastColumn="0"/>
            <w:vAlign w:val="center"/>
            <w:vMerge w:val="restart"/>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经营收</w:t>
            </w:r>
            <w:r>
              <w:rPr>
                <w:color w:val="000000"/>
                <w:position w:val="0"/>
                <w:sz w:val="18"/>
                <w:szCs w:val="18"/>
                <w:rFonts w:ascii="宋体" w:eastAsia="宋体" w:hAnsi="宋体" w:hint="default"/>
              </w:rPr>
              <w:t>入</w:t>
            </w:r>
          </w:p>
        </w:tc>
        <w:tc>
          <w:tcPr>
            <w:tcW w:type="dxa" w:w="1545"/>
            <w:cnfStyle w:val="000010010000" w:firstRow="0" w:lastRow="0" w:firstColumn="0" w:lastColumn="0" w:oddVBand="1" w:evenVBand="0" w:oddHBand="0" w:evenHBand="1" w:firstRowFirstColumn="0" w:firstRowLastColumn="0" w:lastRowFirstColumn="0" w:lastRowLastColumn="0"/>
            <w:vAlign w:val="center"/>
            <w:vMerge w:val="restart"/>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附属单位上缴收</w:t>
            </w:r>
            <w:r>
              <w:rPr>
                <w:color w:val="000000"/>
                <w:position w:val="0"/>
                <w:sz w:val="18"/>
                <w:szCs w:val="18"/>
                <w:rFonts w:ascii="宋体" w:eastAsia="宋体" w:hAnsi="宋体" w:hint="default"/>
              </w:rPr>
              <w:t>入</w:t>
            </w:r>
          </w:p>
        </w:tc>
        <w:tc>
          <w:tcPr>
            <w:tcW w:type="dxa" w:w="1298"/>
            <w:cnfStyle w:val="000001010000" w:firstRow="0" w:lastRow="0" w:firstColumn="0" w:lastColumn="0" w:oddVBand="0" w:evenVBand="1" w:oddHBand="0" w:evenHBand="1" w:firstRowFirstColumn="0" w:firstRowLastColumn="0" w:lastRowFirstColumn="0" w:lastRowLastColumn="0"/>
            <w:vAlign w:val="center"/>
            <w:vMerge w:val="restart"/>
            <w:tcBorders>
              <w:bottom w:val="single" w:color="000000" w:sz="4"/>
              <w:left w:val="nil" w:color="auto"/>
              <w:right w:val="single" w:color="000000" w:sz="8"/>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其他收入</w:t>
            </w:r>
          </w:p>
        </w:tc>
      </w:tr>
      <w:tr>
        <w:trPr>
          <w:cnfStyle w:val="000000100000" w:firstRow="0" w:lastRow="0" w:firstColumn="0" w:lastColumn="0" w:oddVBand="0" w:evenVBand="0" w:oddHBand="1" w:evenHBand="0" w:firstRowFirstColumn="0" w:firstRowLastColumn="0" w:lastRowFirstColumn="0" w:lastRowLastColumn="0"/>
          <w:trHeight w:hRule="atleast" w:val="321"/>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功能分类科目</w:t>
            </w:r>
            <w:r>
              <w:rPr>
                <w:color w:val="000000"/>
                <w:position w:val="0"/>
                <w:sz w:val="18"/>
                <w:szCs w:val="18"/>
                <w:rFonts w:ascii="宋体" w:eastAsia="宋体" w:hAnsi="宋体" w:hint="default"/>
              </w:rPr>
              <w:t>编码</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科目名称</w:t>
            </w:r>
          </w:p>
        </w:tc>
        <w:tc>
          <w:tcPr>
            <w:tcW w:type="dxa" w:w="1665"/>
            <w:cnfStyle w:val="000001010000" w:firstRow="0" w:lastRow="0" w:firstColumn="0" w:lastColumn="0" w:oddVBand="0" w:evenVBand="1" w:oddHBand="0" w:evenHBand="1" w:firstRowFirstColumn="0" w:firstRowLastColumn="0" w:lastRowFirstColumn="0" w:lastRowLastColumn="0"/>
            <w:vAlign w:val="center"/>
            <w:vMerge/>
            <w:tcBorders>
              <w:bottom w:val="single" w:color="000000" w:sz="4"/>
              <w:left w:val="nil" w:color="auto"/>
              <w:right w:val="single" w:color="000000" w:sz="4"/>
              <w:top w:val="single" w:color="000000" w:sz="8"/>
            </w:tcBorders>
            <w:shd w:val="clear" w:color="000000"/>
          </w:tcPr>
          <w:p/>
        </w:tc>
        <w:tc>
          <w:tcPr>
            <w:tcW w:type="dxa" w:w="1665"/>
            <w:cnfStyle w:val="000010010000" w:firstRow="0" w:lastRow="0" w:firstColumn="0" w:lastColumn="0" w:oddVBand="1" w:evenVBand="0" w:oddHBand="0" w:evenHBand="1" w:firstRowFirstColumn="0" w:firstRowLastColumn="0" w:lastRowFirstColumn="0" w:lastRowLastColumn="0"/>
            <w:vAlign w:val="center"/>
            <w:vMerge/>
            <w:tcBorders>
              <w:bottom w:val="single" w:color="000000" w:sz="4"/>
              <w:left w:val="nil" w:color="auto"/>
              <w:right w:val="single" w:color="000000" w:sz="4"/>
              <w:top w:val="single" w:color="000000" w:sz="8"/>
            </w:tcBorders>
            <w:shd w:val="clear" w:color="000000"/>
          </w:tcPr>
          <w:p/>
        </w:tc>
        <w:tc>
          <w:tcPr>
            <w:tcW w:type="dxa" w:w="997"/>
            <w:cnfStyle w:val="000001010000" w:firstRow="0" w:lastRow="0" w:firstColumn="0" w:lastColumn="0" w:oddVBand="0" w:evenVBand="1" w:oddHBand="0" w:evenHBand="1" w:firstRowFirstColumn="0" w:firstRowLastColumn="0" w:lastRowFirstColumn="0" w:lastRowLastColumn="0"/>
            <w:vAlign w:val="center"/>
            <w:vMerge/>
            <w:tcBorders>
              <w:bottom w:val="single" w:color="000000" w:sz="4"/>
              <w:left w:val="nil" w:color="auto"/>
              <w:right w:val="single" w:color="000000" w:sz="4"/>
              <w:top w:val="single" w:color="000000" w:sz="8"/>
            </w:tcBorders>
            <w:shd w:val="clear" w:color="000000"/>
          </w:tcPr>
          <w:p/>
        </w:tc>
        <w:tc>
          <w:tcPr>
            <w:tcW w:type="dxa" w:w="1005"/>
            <w:cnfStyle w:val="000010010000" w:firstRow="0" w:lastRow="0" w:firstColumn="0" w:lastColumn="0" w:oddVBand="1" w:evenVBand="0" w:oddHBand="0" w:evenHBand="1" w:firstRowFirstColumn="0" w:firstRowLastColumn="0" w:lastRowFirstColumn="0" w:lastRowLastColumn="0"/>
            <w:vAlign w:val="center"/>
            <w:vMerge/>
            <w:tcBorders>
              <w:bottom w:val="single" w:color="000000" w:sz="4"/>
              <w:left w:val="nil" w:color="auto"/>
              <w:right w:val="single" w:color="000000" w:sz="4"/>
              <w:top w:val="single" w:color="000000" w:sz="8"/>
            </w:tcBorders>
            <w:shd w:val="clear" w:color="000000"/>
          </w:tcPr>
          <w:p/>
        </w:tc>
        <w:tc>
          <w:tcPr>
            <w:tcW w:type="dxa" w:w="900"/>
            <w:cnfStyle w:val="000001010000" w:firstRow="0" w:lastRow="0" w:firstColumn="0" w:lastColumn="0" w:oddVBand="0" w:evenVBand="1" w:oddHBand="0" w:evenHBand="1" w:firstRowFirstColumn="0" w:firstRowLastColumn="0" w:lastRowFirstColumn="0" w:lastRowLastColumn="0"/>
            <w:vAlign w:val="center"/>
            <w:vMerge/>
            <w:tcBorders>
              <w:bottom w:val="single" w:color="000000" w:sz="4"/>
              <w:left w:val="nil" w:color="auto"/>
              <w:right w:val="single" w:color="000000" w:sz="4"/>
              <w:top w:val="single" w:color="000000" w:sz="8"/>
            </w:tcBorders>
            <w:shd w:val="clear" w:color="000000"/>
          </w:tcPr>
          <w:p/>
        </w:tc>
        <w:tc>
          <w:tcPr>
            <w:tcW w:type="dxa" w:w="1545"/>
            <w:cnfStyle w:val="000010010000" w:firstRow="0" w:lastRow="0" w:firstColumn="0" w:lastColumn="0" w:oddVBand="1" w:evenVBand="0" w:oddHBand="0" w:evenHBand="1" w:firstRowFirstColumn="0" w:firstRowLastColumn="0" w:lastRowFirstColumn="0" w:lastRowLastColumn="0"/>
            <w:vAlign w:val="center"/>
            <w:vMerge/>
            <w:tcBorders>
              <w:bottom w:val="single" w:color="000000" w:sz="4"/>
              <w:left w:val="nil" w:color="auto"/>
              <w:right w:val="single" w:color="000000" w:sz="4"/>
              <w:top w:val="single" w:color="000000" w:sz="8"/>
            </w:tcBorders>
            <w:shd w:val="clear" w:color="000000"/>
          </w:tcPr>
          <w:p/>
        </w:tc>
        <w:tc>
          <w:tcPr>
            <w:tcW w:type="dxa" w:w="1298"/>
            <w:cnfStyle w:val="000001010000" w:firstRow="0" w:lastRow="0" w:firstColumn="0" w:lastColumn="0" w:oddVBand="0" w:evenVBand="1" w:oddHBand="0" w:evenHBand="1" w:firstRowFirstColumn="0" w:firstRowLastColumn="0" w:lastRowFirstColumn="0" w:lastRowLastColumn="0"/>
            <w:vAlign w:val="center"/>
            <w:vMerge/>
            <w:tcBorders>
              <w:bottom w:val="single" w:color="000000" w:sz="4"/>
              <w:left w:val="nil" w:color="auto"/>
              <w:right w:val="single" w:color="000000" w:sz="8"/>
              <w:top w:val="single" w:color="000000" w:sz="8"/>
            </w:tcBorders>
            <w:shd w:val="clear" w:color="000000"/>
          </w:tc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440"/>
            <w:cnfStyle w:val="000010010000" w:firstRow="0" w:lastRow="0" w:firstColumn="0" w:lastColumn="0" w:oddVBand="1" w:evenVBand="0" w:oddHBand="0" w:evenHBand="1" w:firstRowFirstColumn="0" w:firstRowLastColumn="0" w:lastRowFirstColumn="0" w:lastRowLastColumn="0"/>
            <w:vAlign w:val="center"/>
            <w:vMerge w:val="restart"/>
            <w:tcBorders>
              <w:bottom w:val="single" w:color="000000" w:sz="4"/>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类</w:t>
            </w:r>
          </w:p>
        </w:tc>
        <w:tc>
          <w:tcPr>
            <w:tcW w:type="dxa" w:w="440"/>
            <w:cnfStyle w:val="000001010000" w:firstRow="0" w:lastRow="0" w:firstColumn="0" w:lastColumn="0" w:oddVBand="0" w:evenVBand="1" w:oddHBand="0" w:evenHBand="1" w:firstRowFirstColumn="0" w:firstRowLastColumn="0" w:lastRowFirstColumn="0" w:lastRowLastColumn="0"/>
            <w:vAlign w:val="center"/>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款</w:t>
            </w:r>
          </w:p>
        </w:tc>
        <w:tc>
          <w:tcPr>
            <w:tcW w:type="dxa" w:w="440"/>
            <w:cnfStyle w:val="000010010000" w:firstRow="0" w:lastRow="0" w:firstColumn="0" w:lastColumn="0" w:oddVBand="1" w:evenVBand="0" w:oddHBand="0" w:evenHBand="1" w:firstRowFirstColumn="0" w:firstRowLastColumn="0" w:lastRowFirstColumn="0" w:lastRowLastColumn="0"/>
            <w:vAlign w:val="center"/>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项</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栏次</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w:t>
            </w: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w:t>
            </w: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w:t>
            </w: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w:t>
            </w: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8"/>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w:t>
            </w: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440"/>
            <w:cnfStyle w:val="000010010000" w:firstRow="0" w:lastRow="0" w:firstColumn="0" w:lastColumn="0" w:oddVBand="1" w:evenVBand="0" w:oddHBand="0" w:evenHBand="1" w:firstRowFirstColumn="0" w:firstRowLastColumn="0" w:lastRowFirstColumn="0" w:lastRowLastColumn="0"/>
            <w:vAlign w:val="center"/>
            <w:vMerge/>
            <w:tcBorders>
              <w:bottom w:val="single" w:color="000000" w:sz="4"/>
              <w:left w:val="single" w:color="000000" w:sz="8"/>
              <w:right w:val="single" w:color="000000" w:sz="4"/>
              <w:top w:val="nil" w:color="auto"/>
            </w:tcBorders>
            <w:shd w:val="clear" w:color="000000"/>
          </w:tcPr>
          <w:p/>
        </w:tc>
        <w:tc>
          <w:tcPr>
            <w:tcW w:type="dxa" w:w="440"/>
            <w:cnfStyle w:val="000001010000" w:firstRow="0" w:lastRow="0" w:firstColumn="0" w:lastColumn="0" w:oddVBand="0" w:evenVBand="1" w:oddHBand="0" w:evenHBand="1" w:firstRowFirstColumn="0" w:firstRowLastColumn="0" w:lastRowFirstColumn="0" w:lastRowLastColumn="0"/>
            <w:vAlign w:val="center"/>
            <w:vMerge/>
            <w:tcBorders>
              <w:bottom w:val="single" w:color="000000" w:sz="4"/>
              <w:left w:val="nil" w:color="auto"/>
              <w:right w:val="single" w:color="000000" w:sz="4"/>
              <w:top w:val="nil" w:color="auto"/>
            </w:tcBorders>
            <w:shd w:val="clear" w:color="000000"/>
          </w:tcPr>
          <w:p/>
        </w:tc>
        <w:tc>
          <w:tcPr>
            <w:tcW w:type="dxa" w:w="440"/>
            <w:cnfStyle w:val="000010010000" w:firstRow="0" w:lastRow="0" w:firstColumn="0" w:lastColumn="0" w:oddVBand="1" w:evenVBand="0" w:oddHBand="0" w:evenHBand="1" w:firstRowFirstColumn="0" w:firstRowLastColumn="0" w:lastRowFirstColumn="0" w:lastRowLastColumn="0"/>
            <w:vAlign w:val="center"/>
            <w:vMerge/>
            <w:tcBorders>
              <w:bottom w:val="single" w:color="000000" w:sz="4"/>
              <w:left w:val="nil" w:color="auto"/>
              <w:right w:val="single" w:color="000000" w:sz="4"/>
              <w:top w:val="nil" w:color="auto"/>
            </w:tcBorders>
            <w:shd w:val="clear" w:color="000000"/>
          </w:tcPr>
          <w:p/>
        </w:tc>
        <w:tc>
          <w:tcPr>
            <w:tcW w:type="dxa" w:w="330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合计</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69,808,085.31</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69,754,768.78</w:t>
            </w:r>
          </w:p>
        </w:tc>
        <w:tc>
          <w:tcPr>
            <w:tcW w:type="dxa" w:w="997"/>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00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900"/>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54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298"/>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53,316.53</w:t>
            </w: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一般公共服务支出</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35,924,890.99</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35,871,574.46</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53,316.53</w:t>
            </w: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20113</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商贸事务</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35,911,290.99</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35,857,974.46</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53,316.53</w:t>
            </w: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2011301</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行政运行</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17,461,290.99</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17,407,974.46</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53,316.53</w:t>
            </w: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2011302</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一般行政管理事务</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6,950,000.00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6,950,000.00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2011308</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招商引资</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11,500,000.00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11,500,000.00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20132</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组织事务</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2013202</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一般行政管理事务</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208</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社会保障和就业支出</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7,171,436.00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7,171,436.00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6"/>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20805</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行政事业单位离退休</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7,171,436.00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7,171,436.00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2080504</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未归口管理的行政单位离退休</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4,659,036.00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4,659,036.00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2080505</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机关事业单位基本养老保险缴费支出</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1,794,600.00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1,794,600.00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2080506</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机关事业单位职业年金缴费支出</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717,800.00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717,800.00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210</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医疗卫生与计划生育支出</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1,222,900.00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1,222,900.00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21011</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行政事业单位医疗</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1,222,900.00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1,222,900.00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2101101</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行政单位医疗</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717,800.00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717,800.00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2101103</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公务员医疗补助</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505,100.00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505,100.00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212</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城乡社区支出</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14,049,200.00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14,049,200.00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21203</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城乡社区公共设施</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14,049,200.00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14,049,200.00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2120399</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其他城乡社区公共设施支出</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14,049,200.00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14,049,200.00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214</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交通运输支出</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4,970,000.00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4,970,000.00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21403</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民用航空运输</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4,970,000.00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4,970,000.00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2140304</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机场建设</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4,970,000.00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4,970,000.00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215</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资源勘探信息等支出</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21506</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安全生产监管</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2150602</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一般行政管理事务</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商业服务业等支出</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4,730,000.00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4,730,000.00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21602</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商业流通事务</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2,917,000.00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2,917,000.00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2160299</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其他商业流通事务支出</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2,917,000.00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2,917,000.00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21606</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涉外发展服务支出</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1,151,000.00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1,151,000.00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2160699</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其他涉外发展服务支出</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1,151,000.00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1,151,000.00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21699</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其他商业服务业等支出</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662,000.00</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662,000.00</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2169999</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其他商业服务业等支出</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662,000.00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662,000.00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221</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住房保障支出</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1,689,658.32</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1,689,658.32</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22102</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住房改革支出</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1,689,658.32</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1,689,658.32</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308"/>
          <w:hidden w:val="0"/>
        </w:trPr>
        <w:tc>
          <w:tcPr>
            <w:tcW w:type="dxa" w:w="1320"/>
            <w:cnfStyle w:val="000010010000" w:firstRow="0" w:lastRow="0" w:firstColumn="0" w:lastColumn="0" w:oddVBand="1" w:evenVBand="0" w:oddHBand="0" w:evenHBand="1"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2210201</w:t>
            </w:r>
          </w:p>
        </w:tc>
        <w:tc>
          <w:tcPr>
            <w:tcW w:type="dxa" w:w="3308"/>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住房公积金</w:t>
            </w:r>
          </w:p>
        </w:tc>
        <w:tc>
          <w:tcPr>
            <w:tcW w:type="dxa" w:w="1665"/>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1,254,258.32</w:t>
            </w:r>
          </w:p>
        </w:tc>
        <w:tc>
          <w:tcPr>
            <w:tcW w:type="dxa" w:w="166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1,254,258.32</w:t>
            </w:r>
          </w:p>
        </w:tc>
        <w:tc>
          <w:tcPr>
            <w:tcW w:type="dxa" w:w="997"/>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010000" w:firstRow="0" w:lastRow="0" w:firstColumn="0" w:lastColumn="0" w:oddVBand="0" w:evenVBand="1" w:oddHBand="0" w:evenHBand="1"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010000" w:firstRow="0" w:lastRow="0" w:firstColumn="0" w:lastColumn="0" w:oddVBand="1" w:evenVBand="0" w:oddHBand="0" w:evenHBand="1"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100000" w:firstRow="0" w:lastRow="0" w:firstColumn="0" w:lastColumn="0" w:oddVBand="0" w:evenVBand="0" w:oddHBand="1" w:evenHBand="0" w:firstRowFirstColumn="0" w:firstRowLastColumn="0" w:lastRowFirstColumn="0" w:lastRowLastColumn="0"/>
          <w:trHeight w:hRule="atleast" w:val="308"/>
          <w:hidden w:val="0"/>
        </w:trPr>
        <w:tc>
          <w:tcPr>
            <w:tcW w:type="dxa" w:w="1320"/>
            <w:cnfStyle w:val="000010100000" w:firstRow="0" w:lastRow="0" w:firstColumn="0" w:lastColumn="0" w:oddVBand="1" w:evenVBand="0" w:oddHBand="1" w:evenHBand="0" w:firstRowFirstColumn="0" w:firstRowLastColumn="0" w:lastRowFirstColumn="0" w:lastRowLastColumn="0"/>
            <w:vAlign w:val="center"/>
            <w:gridSpan w:val="3"/>
            <w:tcBorders>
              <w:bottom w:val="single" w:color="000000" w:sz="8"/>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2210203</w:t>
            </w:r>
          </w:p>
        </w:tc>
        <w:tc>
          <w:tcPr>
            <w:tcW w:type="dxa" w:w="3308"/>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购房补贴</w:t>
            </w:r>
          </w:p>
        </w:tc>
        <w:tc>
          <w:tcPr>
            <w:tcW w:type="dxa" w:w="1665"/>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435,400.00</w:t>
            </w:r>
          </w:p>
        </w:tc>
        <w:tc>
          <w:tcPr>
            <w:tcW w:type="dxa" w:w="166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435,400.00</w:t>
            </w:r>
          </w:p>
        </w:tc>
        <w:tc>
          <w:tcPr>
            <w:tcW w:type="dxa" w:w="997"/>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900"/>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45"/>
            <w:cnfStyle w:val="000001100000" w:firstRow="0" w:lastRow="0" w:firstColumn="0" w:lastColumn="0" w:oddVBand="0" w:evenVBand="1" w:oddHBand="1" w:evenHBand="0" w:firstRowFirstColumn="0" w:firstRowLastColumn="0" w:lastRowFirstColumn="0" w:lastRowLastColumn="0"/>
            <w:vAlign w:val="center"/>
            <w:tcBorders>
              <w:bottom w:val="single" w:color="000000" w:sz="8"/>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298"/>
            <w:cnfStyle w:val="000010100000" w:firstRow="0" w:lastRow="0" w:firstColumn="0" w:lastColumn="0" w:oddVBand="1" w:evenVBand="0" w:oddHBand="1" w:evenHBand="0" w:firstRowFirstColumn="0" w:firstRowLastColumn="0" w:lastRowFirstColumn="0" w:lastRowLastColumn="0"/>
            <w:vAlign w:val="center"/>
            <w:tcBorders>
              <w:bottom w:val="single" w:color="000000" w:sz="8"/>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cnfStyle w:val="000000010000" w:firstRow="0" w:lastRow="0" w:firstColumn="0" w:lastColumn="0" w:oddVBand="0" w:evenVBand="0" w:oddHBand="0" w:evenHBand="1" w:firstRowFirstColumn="0" w:firstRowLastColumn="0" w:lastRowFirstColumn="0" w:lastRowLastColumn="0"/>
          <w:trHeight w:hRule="atleast" w:val="435"/>
          <w:hidden w:val="0"/>
        </w:trPr>
        <w:tc>
          <w:tcPr>
            <w:tcW w:type="dxa" w:w="13703"/>
            <w:cnfStyle w:val="000010010000" w:firstRow="0" w:lastRow="0" w:firstColumn="0" w:lastColumn="0" w:oddVBand="1" w:evenVBand="0" w:oddHBand="0" w:evenHBand="1" w:firstRowFirstColumn="0" w:firstRowLastColumn="0" w:lastRowFirstColumn="0" w:lastRowLastColumn="0"/>
            <w:vAlign w:val="bottom"/>
            <w:gridSpan w:val="11"/>
            <w:tcBorders>
              <w:bottom w:val="nil" w:color="auto"/>
              <w:left w:val="nil" w:color="auto"/>
              <w:right w:val="nil" w:color="auto"/>
              <w:top w:val="single" w:color="000000" w:sz="8"/>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注：本表反映部门本年度取得的各项收入情况，数据取自财决03表</w:t>
            </w:r>
          </w:p>
        </w:tc>
      </w:tr>
    </w:tbl>
    <w:tbl>
      <w:tblID w:val="0"/>
      <w:tblPr>
        <w:tblStyle w:val="PO37"/>
        <w:tblCellMar>
          <w:left w:w="108" w:type="dxa"/>
          <w:top w:w="0" w:type="dxa"/>
          <w:right w:w="108" w:type="dxa"/>
          <w:bottom w:w="0" w:type="dxa"/>
        </w:tblCellMar>
        <w:tblW w:w="14055" w:type="dxa"/>
        <w:tblInd w:w="88" w:type="dxa"/>
        <w:tblLook w:val="000000" w:firstRow="0" w:lastRow="0" w:firstColumn="0" w:lastColumn="0" w:noHBand="0" w:noVBand="0"/>
        <w:tblLayout w:type="fixed"/>
      </w:tblPr>
      <w:tblGrid>
        <w:gridCol w:w="455"/>
        <w:gridCol w:w="347"/>
        <w:gridCol w:w="402"/>
        <w:gridCol w:w="3069"/>
        <w:gridCol w:w="1566"/>
        <w:gridCol w:w="1470"/>
        <w:gridCol w:w="1425"/>
        <w:gridCol w:w="1122"/>
        <w:gridCol w:w="1608"/>
        <w:gridCol w:w="2591"/>
      </w:tblGrid>
      <w:tr>
        <w:trPr>
          <w:trHeight w:hRule="atleast" w:val="1215"/>
          <w:hidden w:val="0"/>
        </w:trPr>
        <w:tc>
          <w:tcPr>
            <w:tcW w:type="dxa" w:w="14055"/>
            <w:vAlign w:val="bottom"/>
            <w:gridSpan w:val="10"/>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color w:val="auto"/>
                <w:position w:val="0"/>
                <w:sz w:val="18"/>
                <w:szCs w:val="18"/>
                <w:rFonts w:ascii="宋体" w:eastAsia="宋体" w:hAnsi="宋体" w:hint="default"/>
              </w:rPr>
              <w:autoSpaceDE w:val="1"/>
              <w:autoSpaceDN w:val="1"/>
            </w:pPr>
            <w:r>
              <w:rPr>
                <w:b w:val="1"/>
                <w:color w:val="000000"/>
                <w:position w:val="0"/>
                <w:sz w:val="36"/>
                <w:szCs w:val="36"/>
                <w:rFonts w:ascii="宋体" w:eastAsia="Arial" w:hAnsi="Arial" w:hint="default"/>
              </w:rPr>
              <w:t>支出决算表</w:t>
            </w:r>
          </w:p>
        </w:tc>
      </w:tr>
      <w:tr>
        <w:trPr>
          <w:trHeight w:hRule="atleast" w:val="300"/>
          <w:hidden w:val="0"/>
        </w:trPr>
        <w:tc>
          <w:tcPr>
            <w:tcW w:type="dxa" w:w="455"/>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347"/>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402"/>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3069"/>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566"/>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47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425"/>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122"/>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bottom"/>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公开03表</w:t>
            </w:r>
          </w:p>
        </w:tc>
      </w:tr>
      <w:tr>
        <w:trPr>
          <w:trHeight w:hRule="atleast" w:val="90"/>
          <w:hidden w:val="0"/>
        </w:trPr>
        <w:tc>
          <w:tcPr>
            <w:tcW w:type="dxa" w:w="4273"/>
            <w:vAlign w:val="bottom"/>
            <w:gridSpan w:val="4"/>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4"/>
                <w:szCs w:val="24"/>
                <w:rFonts w:ascii="宋体" w:eastAsia="宋体" w:hAnsi="宋体" w:hint="default"/>
              </w:rPr>
              <w:autoSpaceDE w:val="1"/>
              <w:autoSpaceDN w:val="1"/>
            </w:pPr>
            <w:r>
              <w:rPr>
                <w:color w:val="000000"/>
                <w:position w:val="0"/>
                <w:sz w:val="24"/>
                <w:szCs w:val="24"/>
                <w:rFonts w:ascii="宋体" w:eastAsia="宋体" w:hAnsi="宋体" w:hint="default"/>
              </w:rPr>
              <w:t>公开部门：</w:t>
            </w:r>
            <w:r>
              <w:rPr>
                <w:color w:val="000000"/>
                <w:position w:val="0"/>
                <w:sz w:val="24"/>
                <w:szCs w:val="24"/>
                <w:rFonts w:ascii="宋体" w:eastAsia="Arial" w:hAnsi="Arial" w:hint="default"/>
              </w:rPr>
              <w:t>宁夏回族自治区商务厅本</w:t>
            </w:r>
            <w:r>
              <w:rPr>
                <w:color w:val="000000"/>
                <w:position w:val="0"/>
                <w:sz w:val="24"/>
                <w:szCs w:val="24"/>
                <w:rFonts w:ascii="宋体" w:eastAsia="Arial" w:hAnsi="Arial" w:hint="default"/>
              </w:rPr>
              <w:t>级</w:t>
            </w:r>
          </w:p>
        </w:tc>
        <w:tc>
          <w:tcPr>
            <w:tcW w:type="dxa" w:w="1566"/>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24"/>
                <w:szCs w:val="24"/>
                <w:rFonts w:ascii="宋体" w:eastAsia="宋体" w:hAnsi="宋体" w:hint="default"/>
              </w:rPr>
              <w:autoSpaceDE w:val="1"/>
              <w:autoSpaceDN w:val="1"/>
            </w:pPr>
          </w:p>
        </w:tc>
        <w:tc>
          <w:tcPr>
            <w:tcW w:type="dxa" w:w="1470"/>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425"/>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122"/>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bottom"/>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金额单位：元</w:t>
            </w:r>
          </w:p>
        </w:tc>
      </w:tr>
      <w:tr>
        <w:trPr>
          <w:trHeight w:hRule="atleast" w:val="308"/>
          <w:hidden w:val="0"/>
        </w:trPr>
        <w:tc>
          <w:tcPr>
            <w:tcW w:type="dxa" w:w="4273"/>
            <w:vAlign w:val="center"/>
            <w:gridSpan w:val="4"/>
            <w:tcBorders>
              <w:bottom w:val="single" w:color="000000" w:sz="4"/>
              <w:left w:val="single" w:color="000000" w:sz="8"/>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项目</w:t>
            </w:r>
          </w:p>
        </w:tc>
        <w:tc>
          <w:tcPr>
            <w:tcW w:type="dxa" w:w="1566"/>
            <w:vAlign w:val="center"/>
            <w:tcBorders>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本年支出合计</w:t>
            </w:r>
          </w:p>
        </w:tc>
        <w:tc>
          <w:tcPr>
            <w:tcW w:type="dxa" w:w="1470"/>
            <w:vAlign w:val="center"/>
            <w:tcBorders>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基本支出</w:t>
            </w:r>
          </w:p>
        </w:tc>
        <w:tc>
          <w:tcPr>
            <w:tcW w:type="dxa" w:w="1425"/>
            <w:vAlign w:val="center"/>
            <w:tcBorders>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项目支出</w:t>
            </w:r>
          </w:p>
        </w:tc>
        <w:tc>
          <w:tcPr>
            <w:tcW w:type="dxa" w:w="1122"/>
            <w:vAlign w:val="center"/>
            <w:tcBorders>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上缴上级支</w:t>
            </w:r>
            <w:r>
              <w:rPr>
                <w:color w:val="000000"/>
                <w:position w:val="0"/>
                <w:sz w:val="18"/>
                <w:szCs w:val="18"/>
                <w:rFonts w:ascii="宋体" w:eastAsia="宋体" w:hAnsi="宋体" w:hint="default"/>
              </w:rPr>
              <w:t>出</w:t>
            </w:r>
          </w:p>
        </w:tc>
        <w:tc>
          <w:tcPr>
            <w:tcW w:type="dxa" w:w="1608"/>
            <w:vAlign w:val="center"/>
            <w:tcBorders>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经营支出</w:t>
            </w:r>
          </w:p>
        </w:tc>
        <w:tc>
          <w:tcPr>
            <w:tcW w:type="dxa" w:w="2591"/>
            <w:vAlign w:val="center"/>
            <w:tcBorders>
              <w:left w:val="nil" w:color="auto"/>
              <w:right w:val="single" w:color="000000" w:sz="8"/>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对附属单位补助支出</w:t>
            </w:r>
          </w:p>
        </w:tc>
      </w:tr>
      <w:tr>
        <w:trPr>
          <w:trHeight w:hRule="atleast" w:val="321"/>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功能分类科</w:t>
            </w:r>
            <w:r>
              <w:rPr>
                <w:color w:val="000000"/>
                <w:position w:val="0"/>
                <w:sz w:val="18"/>
                <w:szCs w:val="18"/>
                <w:rFonts w:ascii="宋体" w:eastAsia="宋体" w:hAnsi="宋体" w:hint="default"/>
              </w:rPr>
              <w:t>目编码</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科目名称</w:t>
            </w:r>
          </w:p>
        </w:tc>
        <w:tc>
          <w:tcPr>
            <w:tcW w:type="dxa" w:w="1566"/>
            <w:vAlign w:val="center"/>
            <w:tcBorders>
              <w:bottom w:val="single" w:color="000000" w:sz="8"/>
              <w:left w:val="nil" w:color="auto"/>
              <w:right w:val="single" w:color="000000" w:sz="4"/>
            </w:tcBorders>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470"/>
            <w:vAlign w:val="center"/>
            <w:tcBorders>
              <w:bottom w:val="single" w:color="000000" w:sz="8"/>
              <w:left w:val="nil" w:color="auto"/>
              <w:right w:val="single" w:color="000000" w:sz="4"/>
            </w:tcBorders>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425"/>
            <w:vAlign w:val="center"/>
            <w:tcBorders>
              <w:bottom w:val="single" w:color="000000" w:sz="8"/>
              <w:left w:val="nil" w:color="auto"/>
              <w:right w:val="single" w:color="000000" w:sz="4"/>
            </w:tcBorders>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122"/>
            <w:vAlign w:val="center"/>
            <w:tcBorders>
              <w:bottom w:val="single" w:color="000000" w:sz="8"/>
              <w:left w:val="nil" w:color="auto"/>
              <w:right w:val="single" w:color="000000" w:sz="4"/>
            </w:tcBorders>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8"/>
              <w:left w:val="nil" w:color="auto"/>
              <w:right w:val="single" w:color="000000" w:sz="4"/>
            </w:tcBorders>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8"/>
              <w:left w:val="nil" w:color="auto"/>
              <w:right w:val="single" w:color="000000" w:sz="8"/>
            </w:tcBorders>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455"/>
            <w:vAlign w:val="center"/>
            <w:vMerge w:val="restart"/>
            <w:tcBorders>
              <w:bottom w:val="single" w:color="000000" w:sz="4"/>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类</w:t>
            </w:r>
          </w:p>
        </w:tc>
        <w:tc>
          <w:tcPr>
            <w:tcW w:type="dxa" w:w="347"/>
            <w:vAlign w:val="center"/>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款</w:t>
            </w:r>
          </w:p>
        </w:tc>
        <w:tc>
          <w:tcPr>
            <w:tcW w:type="dxa" w:w="402"/>
            <w:vAlign w:val="center"/>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项</w:t>
            </w:r>
          </w:p>
        </w:tc>
        <w:tc>
          <w:tcPr>
            <w:tcW w:type="dxa" w:w="3069"/>
            <w:vAlign w:val="center"/>
            <w:tcBorders>
              <w:bottom w:val="single" w:color="000000" w:sz="4"/>
              <w:left w:val="nil" w:color="auto"/>
              <w:right w:val="single" w:color="000000" w:sz="8"/>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栏次</w:t>
            </w:r>
          </w:p>
        </w:tc>
        <w:tc>
          <w:tcPr>
            <w:tcW w:type="dxa" w:w="1566"/>
            <w:vAlign w:val="center"/>
            <w:tcBorders>
              <w:bottom w:val="single" w:color="000000" w:sz="8"/>
              <w:left w:val="single" w:color="000000" w:sz="8"/>
              <w:right w:val="single" w:color="000000" w:sz="8"/>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w:t>
            </w:r>
          </w:p>
        </w:tc>
        <w:tc>
          <w:tcPr>
            <w:tcW w:type="dxa" w:w="1470"/>
            <w:vAlign w:val="center"/>
            <w:tcBorders>
              <w:bottom w:val="single" w:color="000000" w:sz="8"/>
              <w:left w:val="single" w:color="000000" w:sz="8"/>
              <w:right w:val="single" w:color="000000" w:sz="8"/>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w:t>
            </w:r>
          </w:p>
        </w:tc>
        <w:tc>
          <w:tcPr>
            <w:tcW w:type="dxa" w:w="1425"/>
            <w:vAlign w:val="center"/>
            <w:tcBorders>
              <w:bottom w:val="single" w:color="000000" w:sz="8"/>
              <w:left w:val="single" w:color="000000" w:sz="8"/>
              <w:right w:val="single" w:color="000000" w:sz="8"/>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w:t>
            </w:r>
          </w:p>
        </w:tc>
        <w:tc>
          <w:tcPr>
            <w:tcW w:type="dxa" w:w="1122"/>
            <w:vAlign w:val="center"/>
            <w:tcBorders>
              <w:bottom w:val="single" w:color="000000" w:sz="8"/>
              <w:left w:val="single" w:color="000000" w:sz="8"/>
              <w:right w:val="single" w:color="000000" w:sz="8"/>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w:t>
            </w:r>
          </w:p>
        </w:tc>
        <w:tc>
          <w:tcPr>
            <w:tcW w:type="dxa" w:w="1608"/>
            <w:vAlign w:val="center"/>
            <w:tcBorders>
              <w:bottom w:val="single" w:color="000000" w:sz="8"/>
              <w:left w:val="single" w:color="000000" w:sz="8"/>
              <w:right w:val="single" w:color="000000" w:sz="8"/>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w:t>
            </w:r>
          </w:p>
        </w:tc>
        <w:tc>
          <w:tcPr>
            <w:tcW w:type="dxa" w:w="2591"/>
            <w:vAlign w:val="center"/>
            <w:tcBorders>
              <w:bottom w:val="single" w:color="000000" w:sz="8"/>
              <w:left w:val="single" w:color="000000" w:sz="8"/>
              <w:right w:val="single" w:color="000000" w:sz="8"/>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w:t>
            </w:r>
          </w:p>
        </w:tc>
      </w:tr>
      <w:tr>
        <w:trPr>
          <w:trHeight w:hRule="atleast" w:val="308"/>
          <w:hidden w:val="0"/>
        </w:trPr>
        <w:tc>
          <w:tcPr>
            <w:tcW w:type="dxa" w:w="455"/>
            <w:vAlign w:val="center"/>
            <w:vMerge/>
            <w:tcBorders>
              <w:bottom w:val="single" w:color="000000" w:sz="4"/>
              <w:left w:val="single" w:color="000000" w:sz="8"/>
              <w:right w:val="single" w:color="000000" w:sz="4"/>
              <w:top w:val="nil" w:color="auto"/>
            </w:tcBorders>
            <w:shd w:val="clear" w:color="000000"/>
          </w:tcPr>
          <w:p/>
        </w:tc>
        <w:tc>
          <w:tcPr>
            <w:tcW w:type="dxa" w:w="347"/>
            <w:vAlign w:val="center"/>
            <w:vMerge/>
            <w:tcBorders>
              <w:bottom w:val="single" w:color="000000" w:sz="4"/>
              <w:left w:val="nil" w:color="auto"/>
              <w:right w:val="single" w:color="000000" w:sz="4"/>
              <w:top w:val="nil" w:color="auto"/>
            </w:tcBorders>
            <w:shd w:val="clear" w:color="000000"/>
          </w:tcPr>
          <w:p/>
        </w:tc>
        <w:tc>
          <w:tcPr>
            <w:tcW w:type="dxa" w:w="402"/>
            <w:vAlign w:val="center"/>
            <w:vMerge/>
            <w:tcBorders>
              <w:bottom w:val="single" w:color="000000" w:sz="4"/>
              <w:left w:val="nil" w:color="auto"/>
              <w:right w:val="single" w:color="000000" w:sz="4"/>
              <w:top w:val="nil" w:color="auto"/>
            </w:tcBorders>
            <w:shd w:val="clear" w:color="000000"/>
          </w:tcP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合计</w:t>
            </w:r>
          </w:p>
        </w:tc>
        <w:tc>
          <w:tcPr>
            <w:tcW w:type="dxa" w:w="1566"/>
            <w:vAlign w:val="center"/>
            <w:tcBorders>
              <w:bottom w:val="single" w:color="000000" w:sz="4"/>
              <w:left w:val="nil" w:color="auto"/>
              <w:right w:val="single" w:color="000000" w:sz="4"/>
              <w:top w:val="single" w:color="000000" w:sz="8"/>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53,574,561.53</w:t>
            </w:r>
          </w:p>
        </w:tc>
        <w:tc>
          <w:tcPr>
            <w:tcW w:type="dxa" w:w="1470"/>
            <w:vAlign w:val="center"/>
            <w:tcBorders>
              <w:bottom w:val="single" w:color="000000" w:sz="4"/>
              <w:left w:val="nil" w:color="auto"/>
              <w:right w:val="single" w:color="000000" w:sz="4"/>
              <w:top w:val="single" w:color="000000" w:sz="8"/>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26,323,143.06</w:t>
            </w:r>
          </w:p>
        </w:tc>
        <w:tc>
          <w:tcPr>
            <w:tcW w:type="dxa" w:w="1425"/>
            <w:vAlign w:val="center"/>
            <w:tcBorders>
              <w:bottom w:val="single" w:color="000000" w:sz="4"/>
              <w:left w:val="nil" w:color="auto"/>
              <w:right w:val="single" w:color="000000" w:sz="4"/>
              <w:top w:val="single" w:color="000000" w:sz="8"/>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27,251,418.47</w:t>
            </w:r>
          </w:p>
        </w:tc>
        <w:tc>
          <w:tcPr>
            <w:tcW w:type="dxa" w:w="1122"/>
            <w:vAlign w:val="center"/>
            <w:tcBorders>
              <w:bottom w:val="single" w:color="000000" w:sz="4"/>
              <w:left w:val="nil" w:color="auto"/>
              <w:right w:val="single" w:color="000000" w:sz="4"/>
              <w:top w:val="single" w:color="000000" w:sz="8"/>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08"/>
            <w:vAlign w:val="center"/>
            <w:tcBorders>
              <w:bottom w:val="single" w:color="000000" w:sz="4"/>
              <w:left w:val="nil" w:color="auto"/>
              <w:right w:val="single" w:color="000000" w:sz="4"/>
              <w:top w:val="single" w:color="000000" w:sz="8"/>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591"/>
            <w:vAlign w:val="center"/>
            <w:tcBorders>
              <w:bottom w:val="single" w:color="000000" w:sz="4"/>
              <w:left w:val="nil" w:color="auto"/>
              <w:right w:val="single" w:color="000000" w:sz="8"/>
              <w:top w:val="single" w:color="000000" w:sz="8"/>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一般公共服务支出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34,359,553.33</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17,408,504.46</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16,951,048.87</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20113</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商贸事务</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34,345,953.33</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17,408,504.46</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16,937,448.87</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2011301</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行政运行</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17,408,504.46</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17,408,504.46</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2011302</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一般行政管理事务</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6,524,151.49</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6,524,151.49</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2011308</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招商引资</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10,413,297.38</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10,413,297.38</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20132</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组织事务</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2013202</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一般行政管理事务</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206</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科学技术支出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20699</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其他科学技术支出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2069999</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其他科学技术支出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208</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社会保障和就业支出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6,323,673.20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6,323,673.20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20805</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行政事业单位离退休</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6,323,673.20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6,323,673.20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2080504</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未归口管理的行政单位离退休</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4,607,555.16</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4,607,555.16</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2080505</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5"/>
                <w:szCs w:val="15"/>
                <w:rFonts w:ascii="宋体" w:eastAsia="宋体" w:hAnsi="宋体" w:hint="default"/>
              </w:rPr>
              <w:autoSpaceDE w:val="1"/>
              <w:autoSpaceDN w:val="1"/>
            </w:pPr>
            <w:r>
              <w:rPr>
                <w:color w:val="000000"/>
                <w:position w:val="0"/>
                <w:sz w:val="18"/>
                <w:szCs w:val="18"/>
                <w:rFonts w:ascii="宋体" w:eastAsia="宋体" w:hAnsi="宋体" w:hint="default"/>
              </w:rPr>
              <w:t xml:space="preserve"> </w:t>
            </w:r>
            <w:r>
              <w:rPr>
                <w:color w:val="000000"/>
                <w:position w:val="0"/>
                <w:sz w:val="15"/>
                <w:szCs w:val="15"/>
                <w:rFonts w:ascii="宋体" w:eastAsia="宋体" w:hAnsi="宋体" w:hint="default"/>
              </w:rPr>
              <w:t xml:space="preserve"> 机关事业单位基本养老保险缴费支出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1,716,118.04</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1,716,118.04</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210</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医疗卫生与计划生育支出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1,056,771.40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1,056,771.40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21011</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行政事业单位医疗</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1,056,771.40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1,056,771.40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2101101</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行政单位医疗</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588,270.54</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588,270.54</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2101103</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公务员医疗补助</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468,500.86</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468,500.86</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214</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交通运输支出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21403</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民用航空运输</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2140304</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机场建设</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215</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资源勘探信息等支出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21506</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安全生产监管</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2150602</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一般行政管理事务</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商业服务业等支出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5,196,901.60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5,196,901.60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21602</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商业流通事务</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3,849,239.40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3,849,239.40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2160299</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其他商业流通事务支出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3,849,239.40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3,849,239.40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21606</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涉外发展服务支出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956,053.20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956,053.20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2160699</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其他涉外发展服务支出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956,053.20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956,053.20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21699</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其他商业服务业等支出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391,609.00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391,609.00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2169999</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其他商业服务业等支出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391,609.00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391,609.00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221</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住房保障支出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1,534,194.00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1,534,194.00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22102</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住房改革支出</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1,534,194.00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1,534,194.00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2210201</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住房公积金</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1,098,794.00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1,098,794.00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308"/>
          <w:hidden w:val="0"/>
        </w:trPr>
        <w:tc>
          <w:tcPr>
            <w:tcW w:type="dxa" w:w="1204"/>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2210203</w:t>
            </w:r>
          </w:p>
        </w:tc>
        <w:tc>
          <w:tcPr>
            <w:tcW w:type="dxa" w:w="3069"/>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购房补贴</w:t>
            </w:r>
          </w:p>
        </w:tc>
        <w:tc>
          <w:tcPr>
            <w:tcW w:type="dxa" w:w="1566"/>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435,400.00</w:t>
            </w:r>
          </w:p>
        </w:tc>
        <w:tc>
          <w:tcPr>
            <w:tcW w:type="dxa" w:w="1470"/>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435,400.00</w:t>
            </w:r>
          </w:p>
        </w:tc>
        <w:tc>
          <w:tcPr>
            <w:tcW w:type="dxa" w:w="1425"/>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22"/>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608"/>
            <w:vAlign w:val="center"/>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2591"/>
            <w:vAlign w:val="center"/>
            <w:tcBorders>
              <w:bottom w:val="single" w:color="000000" w:sz="4"/>
              <w:left w:val="nil" w:color="auto"/>
              <w:right w:val="single" w:color="000000" w:sz="8"/>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r>
      <w:tr>
        <w:trPr>
          <w:trHeight w:hRule="atleast" w:val="510"/>
          <w:hidden w:val="0"/>
        </w:trPr>
        <w:tc>
          <w:tcPr>
            <w:tcW w:type="dxa" w:w="14055"/>
            <w:vAlign w:val="bottom"/>
            <w:gridSpan w:val="10"/>
            <w:tcBorders>
              <w:bottom w:val="nil" w:color="auto"/>
              <w:left w:val="nil" w:color="auto"/>
              <w:right w:val="nil" w:color="auto"/>
              <w:top w:val="single" w:color="000000" w:sz="8"/>
            </w:tcBorders>
            <w:shd w:val="clear" w:color="000000"/>
          </w:tcPr>
          <w:p>
            <w:pPr>
              <w:numPr>
                <w:ilvl w:val="0"/>
                <w:numId w:val="0"/>
              </w:numPr>
              <w:jc w:val="lef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注：本表反映部门本年度各项支出情况，数据取自财决04表</w:t>
            </w:r>
          </w:p>
        </w:tc>
      </w:tr>
    </w:tbl>
    <w:tbl>
      <w:tblID w:val="0"/>
      <w:tblPr>
        <w:tblStyle w:val="PO37"/>
        <w:tblCellMar>
          <w:left w:w="108" w:type="dxa"/>
          <w:top w:w="0" w:type="dxa"/>
          <w:right w:w="108" w:type="dxa"/>
          <w:bottom w:w="0" w:type="dxa"/>
        </w:tblCellMar>
        <w:tblW w:w="14235" w:type="dxa"/>
        <w:jc w:val="center"/>
        <w:tblLook w:val="000000" w:firstRow="0" w:lastRow="0" w:firstColumn="0" w:lastColumn="0" w:noHBand="0" w:noVBand="0"/>
        <w:tblLayout w:type="fixed"/>
      </w:tblPr>
      <w:tblGrid>
        <w:gridCol w:w="544"/>
        <w:gridCol w:w="660"/>
        <w:gridCol w:w="711"/>
        <w:gridCol w:w="884"/>
        <w:gridCol w:w="600"/>
        <w:gridCol w:w="965"/>
        <w:gridCol w:w="518"/>
        <w:gridCol w:w="974"/>
        <w:gridCol w:w="108"/>
        <w:gridCol w:w="2234"/>
        <w:gridCol w:w="193"/>
        <w:gridCol w:w="516"/>
        <w:gridCol w:w="744"/>
        <w:gridCol w:w="1010"/>
        <w:gridCol w:w="250"/>
        <w:gridCol w:w="288"/>
        <w:gridCol w:w="694"/>
        <w:gridCol w:w="464"/>
        <w:gridCol w:w="545"/>
        <w:gridCol w:w="634"/>
        <w:gridCol w:w="699"/>
      </w:tblGrid>
      <w:tr>
        <w:trPr>
          <w:trHeight w:hRule="atleast" w:val="597"/>
          <w:hidden w:val="0"/>
        </w:trPr>
        <w:tc>
          <w:tcPr>
            <w:tcW w:type="dxa" w:w="14235"/>
            <w:vAlign w:val="bottom"/>
            <w:gridSpan w:val="21"/>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color w:val="000000"/>
                <w:position w:val="0"/>
                <w:sz w:val="40"/>
                <w:szCs w:val="40"/>
                <w:rFonts w:ascii="宋体" w:eastAsia="Arial" w:hAnsi="Arial" w:hint="default"/>
              </w:rPr>
              <w:autoSpaceDE w:val="1"/>
              <w:autoSpaceDN w:val="1"/>
            </w:pPr>
            <w:r>
              <w:rPr>
                <w:b w:val="1"/>
                <w:color w:val="000000"/>
                <w:position w:val="0"/>
                <w:sz w:val="36"/>
                <w:szCs w:val="36"/>
                <w:rFonts w:ascii="宋体" w:eastAsia="Arial" w:hAnsi="Arial" w:hint="default"/>
              </w:rPr>
              <w:t>财政拨款收入支出决算总表</w:t>
            </w:r>
          </w:p>
        </w:tc>
      </w:tr>
      <w:tr>
        <w:trPr>
          <w:trHeight w:hRule="exact" w:val="272"/>
          <w:hidden w:val="0"/>
        </w:trPr>
        <w:tc>
          <w:tcPr>
            <w:tcW w:type="dxa" w:w="4364"/>
            <w:vAlign w:val="bottom"/>
            <w:gridSpan w:val="6"/>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518"/>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1082"/>
            <w:vAlign w:val="bottom"/>
            <w:gridSpan w:val="2"/>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3687"/>
            <w:vAlign w:val="bottom"/>
            <w:gridSpan w:val="4"/>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1548"/>
            <w:vAlign w:val="bottom"/>
            <w:gridSpan w:val="3"/>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694"/>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1009"/>
            <w:vAlign w:val="bottom"/>
            <w:gridSpan w:val="2"/>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1333"/>
            <w:vAlign w:val="bottom"/>
            <w:gridSpan w:val="2"/>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公开04表</w:t>
            </w:r>
          </w:p>
        </w:tc>
      </w:tr>
      <w:tr>
        <w:trPr>
          <w:trHeight w:hRule="exact" w:val="272"/>
          <w:hidden w:val="0"/>
        </w:trPr>
        <w:tc>
          <w:tcPr>
            <w:tcW w:type="dxa" w:w="4364"/>
            <w:vAlign w:val="bottom"/>
            <w:gridSpan w:val="6"/>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24"/>
                <w:szCs w:val="24"/>
                <w:rFonts w:ascii="宋体" w:eastAsia="宋体" w:hAnsi="宋体" w:hint="default"/>
              </w:rPr>
              <w:t>公开部门：</w:t>
            </w:r>
            <w:r>
              <w:rPr>
                <w:color w:val="000000"/>
                <w:position w:val="0"/>
                <w:sz w:val="24"/>
                <w:szCs w:val="24"/>
                <w:rFonts w:ascii="宋体" w:eastAsia="Arial" w:hAnsi="Arial" w:hint="default"/>
              </w:rPr>
              <w:t>宁夏回族自治区商务厅本级</w:t>
            </w:r>
          </w:p>
        </w:tc>
        <w:tc>
          <w:tcPr>
            <w:tcW w:type="dxa" w:w="518"/>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1082"/>
            <w:vAlign w:val="bottom"/>
            <w:gridSpan w:val="2"/>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3687"/>
            <w:vAlign w:val="bottom"/>
            <w:gridSpan w:val="4"/>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1548"/>
            <w:vAlign w:val="bottom"/>
            <w:gridSpan w:val="3"/>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694"/>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p>
        </w:tc>
        <w:tc>
          <w:tcPr>
            <w:tcW w:type="dxa" w:w="1009"/>
            <w:vAlign w:val="bottom"/>
            <w:gridSpan w:val="2"/>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Arial" w:eastAsia="Arial" w:hAnsi="Arial" w:hint="default"/>
              </w:rPr>
              <w:autoSpaceDE w:val="1"/>
              <w:autoSpaceDN w:val="1"/>
            </w:pPr>
          </w:p>
        </w:tc>
        <w:tc>
          <w:tcPr>
            <w:tcW w:type="dxa" w:w="1333"/>
            <w:vAlign w:val="bottom"/>
            <w:gridSpan w:val="2"/>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金额单位：元</w:t>
            </w:r>
          </w:p>
        </w:tc>
      </w:tr>
      <w:tr>
        <w:trPr>
          <w:trHeight w:hRule="exact" w:val="261"/>
          <w:hidden w:val="0"/>
        </w:trPr>
        <w:tc>
          <w:tcPr>
            <w:tcW w:type="dxa" w:w="5964"/>
            <w:vAlign w:val="center"/>
            <w:gridSpan w:val="9"/>
            <w:tcBorders>
              <w:bottom w:val="single" w:color="000000" w:sz="4"/>
              <w:left w:val="single" w:color="000000" w:sz="8"/>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xml:space="preserve">收     入</w:t>
            </w:r>
          </w:p>
        </w:tc>
        <w:tc>
          <w:tcPr>
            <w:tcW w:type="dxa" w:w="8271"/>
            <w:vAlign w:val="center"/>
            <w:gridSpan w:val="12"/>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xml:space="preserve">支     出</w:t>
            </w:r>
          </w:p>
        </w:tc>
      </w:tr>
      <w:tr>
        <w:trPr>
          <w:trHeight w:hRule="exact" w:val="261"/>
          <w:hidden w:val="0"/>
        </w:trPr>
        <w:tc>
          <w:tcPr>
            <w:tcW w:type="dxa" w:w="2799"/>
            <w:vAlign w:val="center"/>
            <w:gridSpan w:val="4"/>
            <w:vMerge w:val="restart"/>
            <w:tcBorders>
              <w:bottom w:val="single" w:color="000000" w:sz="4"/>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xml:space="preserve">项    目</w:t>
            </w:r>
          </w:p>
        </w:tc>
        <w:tc>
          <w:tcPr>
            <w:tcW w:type="dxa" w:w="600"/>
            <w:vAlign w:val="center"/>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行次</w:t>
            </w:r>
          </w:p>
        </w:tc>
        <w:tc>
          <w:tcPr>
            <w:tcW w:type="dxa" w:w="2565"/>
            <w:vAlign w:val="center"/>
            <w:gridSpan w:val="4"/>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决算数</w:t>
            </w:r>
          </w:p>
        </w:tc>
        <w:tc>
          <w:tcPr>
            <w:tcW w:type="dxa" w:w="2234"/>
            <w:vAlign w:val="center"/>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项目(按功能分类)</w:t>
            </w:r>
          </w:p>
        </w:tc>
        <w:tc>
          <w:tcPr>
            <w:tcW w:type="dxa" w:w="709"/>
            <w:vAlign w:val="center"/>
            <w:gridSpan w:val="2"/>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行次</w:t>
            </w:r>
          </w:p>
        </w:tc>
        <w:tc>
          <w:tcPr>
            <w:tcW w:type="dxa" w:w="5328"/>
            <w:vAlign w:val="center"/>
            <w:gridSpan w:val="9"/>
            <w:tcBorders>
              <w:bottom w:val="single" w:color="000000" w:sz="4"/>
              <w:left w:val="nil" w:color="auto"/>
              <w:right w:val="single" w:color="000000" w:sz="4"/>
              <w:top w:val="single" w:color="000000"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决算数</w:t>
            </w:r>
          </w:p>
        </w:tc>
      </w:tr>
      <w:tr>
        <w:trPr>
          <w:trHeight w:hRule="exact" w:val="261"/>
          <w:hidden w:val="0"/>
        </w:trPr>
        <w:tc>
          <w:tcPr>
            <w:tcW w:type="dxa" w:w="2799"/>
            <w:vAlign w:val="center"/>
            <w:gridSpan w:val="4"/>
            <w:vMerge/>
            <w:tcBorders>
              <w:bottom w:val="single" w:color="000000" w:sz="4"/>
              <w:left w:val="single" w:color="000000" w:sz="8"/>
              <w:right w:val="single" w:color="000000" w:sz="4"/>
              <w:top w:val="nil" w:color="auto"/>
            </w:tcBorders>
            <w:shd w:val="clear" w:color="000000"/>
          </w:tcPr>
          <w:p/>
        </w:tc>
        <w:tc>
          <w:tcPr>
            <w:tcW w:type="dxa" w:w="600"/>
            <w:vAlign w:val="center"/>
            <w:vMerge/>
            <w:tcBorders>
              <w:bottom w:val="single" w:color="000000" w:sz="4"/>
              <w:left w:val="nil" w:color="auto"/>
              <w:right w:val="single" w:color="000000" w:sz="4"/>
              <w:top w:val="nil" w:color="auto"/>
            </w:tcBorders>
            <w:shd w:val="clear" w:color="000000"/>
          </w:tcPr>
          <w:p/>
        </w:tc>
        <w:tc>
          <w:tcPr>
            <w:tcW w:type="dxa" w:w="2565"/>
            <w:vAlign w:val="center"/>
            <w:gridSpan w:val="4"/>
            <w:vMerge/>
            <w:tcBorders>
              <w:bottom w:val="single" w:color="000000" w:sz="4"/>
              <w:left w:val="nil" w:color="auto"/>
              <w:right w:val="single" w:color="000000" w:sz="4"/>
              <w:top w:val="nil" w:color="auto"/>
            </w:tcBorders>
            <w:shd w:val="clear" w:color="000000"/>
          </w:tcPr>
          <w:p/>
        </w:tc>
        <w:tc>
          <w:tcPr>
            <w:tcW w:type="dxa" w:w="2234"/>
            <w:vAlign w:val="center"/>
            <w:vMerge/>
            <w:tcBorders>
              <w:bottom w:val="single" w:color="000000" w:sz="4"/>
              <w:left w:val="nil" w:color="auto"/>
              <w:right w:val="single" w:color="000000" w:sz="4"/>
              <w:top w:val="nil" w:color="auto"/>
            </w:tcBorders>
            <w:shd w:val="clear" w:color="000000"/>
          </w:tcPr>
          <w:p/>
        </w:tc>
        <w:tc>
          <w:tcPr>
            <w:tcW w:type="dxa" w:w="709"/>
            <w:vAlign w:val="center"/>
            <w:gridSpan w:val="2"/>
            <w:vMerge/>
            <w:tcBorders>
              <w:bottom w:val="single" w:color="000000" w:sz="4"/>
              <w:left w:val="nil" w:color="auto"/>
              <w:right w:val="single" w:color="000000" w:sz="4"/>
              <w:top w:val="nil" w:color="auto"/>
            </w:tcBorders>
            <w:shd w:val="clear" w:color="000000"/>
          </w:tcP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合计</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一般公共预算财政</w:t>
            </w:r>
            <w:r>
              <w:rPr>
                <w:color w:val="000000"/>
                <w:position w:val="0"/>
                <w:sz w:val="18"/>
                <w:szCs w:val="18"/>
                <w:rFonts w:ascii="宋体" w:eastAsia="Arial" w:hAnsi="Arial" w:hint="default"/>
              </w:rPr>
              <w:t>拨款</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政府性基金预算财政</w:t>
            </w:r>
            <w:r>
              <w:rPr>
                <w:color w:val="000000"/>
                <w:position w:val="0"/>
                <w:sz w:val="18"/>
                <w:szCs w:val="18"/>
                <w:rFonts w:ascii="宋体" w:eastAsia="Arial" w:hAnsi="Arial" w:hint="default"/>
              </w:rPr>
              <w:t>拨款</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xml:space="preserve">栏    次</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xml:space="preserve">栏    次</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一、一般公共预算财政拨款</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69,754,768.78</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一、一般公共服务支出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29</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34,359,023.33</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二、政府性基金预算财政拨款</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二、外交支出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30</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0.00　</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三、国防支出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31</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0.00　</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四、公共安全支出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32</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0.00　</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五、教育支出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33</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0.00　</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6</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六、科学技术支出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34</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166,000.00　</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7</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七、文化体育与传媒支出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35</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0.00　</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8</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八、社会保障和就业支出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36</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6,323,673.20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9</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九、医疗卫生与计划生育</w:t>
            </w:r>
            <w:r>
              <w:rPr>
                <w:color w:val="000000"/>
                <w:position w:val="0"/>
                <w:sz w:val="18"/>
                <w:szCs w:val="18"/>
                <w:rFonts w:ascii="宋体" w:eastAsia="Arial" w:hAnsi="Arial" w:hint="default"/>
              </w:rPr>
              <w:t>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37</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1,056,771.40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10</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十、节能环保支出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38</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0.00　</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11</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十一、城乡社区支出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39</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0.00　</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auto"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auto"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12</w:t>
            </w:r>
          </w:p>
        </w:tc>
        <w:tc>
          <w:tcPr>
            <w:tcW w:type="dxa" w:w="2565"/>
            <w:vAlign w:val="center"/>
            <w:gridSpan w:val="4"/>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auto"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十二、农林水支出</w:t>
            </w:r>
          </w:p>
        </w:tc>
        <w:tc>
          <w:tcPr>
            <w:tcW w:type="dxa" w:w="709"/>
            <w:vAlign w:val="center"/>
            <w:gridSpan w:val="2"/>
            <w:tcBorders>
              <w:bottom w:val="single" w:color="auto"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40</w:t>
            </w:r>
          </w:p>
        </w:tc>
        <w:tc>
          <w:tcPr>
            <w:tcW w:type="dxa" w:w="1754"/>
            <w:vAlign w:val="center"/>
            <w:gridSpan w:val="2"/>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0.00　</w:t>
            </w:r>
          </w:p>
        </w:tc>
        <w:tc>
          <w:tcPr>
            <w:tcW w:type="dxa" w:w="1878"/>
            <w:vAlign w:val="center"/>
            <w:gridSpan w:val="3"/>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13</w:t>
            </w:r>
          </w:p>
        </w:tc>
        <w:tc>
          <w:tcPr>
            <w:tcW w:type="dxa" w:w="2565"/>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十三、交通运输支出</w:t>
            </w:r>
          </w:p>
        </w:tc>
        <w:tc>
          <w:tcPr>
            <w:tcW w:type="dxa" w:w="709"/>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41</w:t>
            </w:r>
          </w:p>
        </w:tc>
        <w:tc>
          <w:tcPr>
            <w:tcW w:type="dxa" w:w="1754"/>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4,887,468.00</w:t>
            </w:r>
          </w:p>
        </w:tc>
        <w:tc>
          <w:tcPr>
            <w:tcW w:type="dxa" w:w="1878"/>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14</w:t>
            </w:r>
          </w:p>
        </w:tc>
        <w:tc>
          <w:tcPr>
            <w:tcW w:type="dxa" w:w="2565"/>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十四、资源勘探信息等支</w:t>
            </w:r>
            <w:r>
              <w:rPr>
                <w:color w:val="000000"/>
                <w:position w:val="0"/>
                <w:sz w:val="18"/>
                <w:szCs w:val="18"/>
                <w:rFonts w:ascii="宋体" w:eastAsia="Arial" w:hAnsi="Arial" w:hint="default"/>
              </w:rPr>
              <w:t>出</w:t>
            </w:r>
          </w:p>
        </w:tc>
        <w:tc>
          <w:tcPr>
            <w:tcW w:type="dxa" w:w="709"/>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42</w:t>
            </w:r>
          </w:p>
        </w:tc>
        <w:tc>
          <w:tcPr>
            <w:tcW w:type="dxa" w:w="1754"/>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50,000.00</w:t>
            </w:r>
          </w:p>
        </w:tc>
        <w:tc>
          <w:tcPr>
            <w:tcW w:type="dxa" w:w="1878"/>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15</w:t>
            </w:r>
          </w:p>
        </w:tc>
        <w:tc>
          <w:tcPr>
            <w:tcW w:type="dxa" w:w="2565"/>
            <w:vAlign w:val="center"/>
            <w:gridSpan w:val="4"/>
            <w:tcBorders>
              <w:bottom w:val="single" w:color="000000" w:sz="4"/>
              <w:left w:val="nil" w:color="auto"/>
              <w:right w:val="single" w:color="000000"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十五、商业服务业等支出</w:t>
            </w:r>
          </w:p>
        </w:tc>
        <w:tc>
          <w:tcPr>
            <w:tcW w:type="dxa" w:w="709"/>
            <w:vAlign w:val="center"/>
            <w:gridSpan w:val="2"/>
            <w:tcBorders>
              <w:bottom w:val="single" w:color="000000" w:sz="4"/>
              <w:left w:val="nil" w:color="auto"/>
              <w:right w:val="single" w:color="000000"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43</w:t>
            </w:r>
          </w:p>
        </w:tc>
        <w:tc>
          <w:tcPr>
            <w:tcW w:type="dxa" w:w="1754"/>
            <w:vAlign w:val="center"/>
            <w:gridSpan w:val="2"/>
            <w:tcBorders>
              <w:bottom w:val="single" w:color="000000" w:sz="4"/>
              <w:left w:val="nil" w:color="auto"/>
              <w:right w:val="single" w:color="000000"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5,196,901.60</w:t>
            </w:r>
          </w:p>
        </w:tc>
        <w:tc>
          <w:tcPr>
            <w:tcW w:type="dxa" w:w="1878"/>
            <w:vAlign w:val="center"/>
            <w:gridSpan w:val="3"/>
            <w:tcBorders>
              <w:bottom w:val="single" w:color="000000" w:sz="4"/>
              <w:left w:val="nil" w:color="auto"/>
              <w:right w:val="single" w:color="000000"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16</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十六、金融支出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44</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17</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十七、援助其他地区支出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45</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18</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十八、国土海洋气象等支</w:t>
            </w:r>
            <w:r>
              <w:rPr>
                <w:color w:val="000000"/>
                <w:position w:val="0"/>
                <w:sz w:val="18"/>
                <w:szCs w:val="18"/>
                <w:rFonts w:ascii="宋体" w:eastAsia="Arial" w:hAnsi="Arial" w:hint="default"/>
              </w:rPr>
              <w:t>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46</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19</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十九、住房保障支出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47</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1,534,194.00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20</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二十、粮油物资储备支出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48</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21</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二十一、其他支出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49</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22</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二十二、债务还本支出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50</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23</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二十三、债务付息支出</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51</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b w:val="1"/>
                <w:color w:val="000000"/>
                <w:position w:val="0"/>
                <w:sz w:val="18"/>
                <w:szCs w:val="18"/>
                <w:rFonts w:ascii="宋体" w:eastAsia="Arial" w:hAnsi="Arial" w:hint="default"/>
              </w:rPr>
              <w:autoSpaceDE w:val="1"/>
              <w:autoSpaceDN w:val="1"/>
            </w:pPr>
            <w:r>
              <w:rPr>
                <w:b w:val="1"/>
                <w:color w:val="000000"/>
                <w:position w:val="0"/>
                <w:sz w:val="18"/>
                <w:szCs w:val="18"/>
                <w:rFonts w:ascii="宋体" w:eastAsia="Arial" w:hAnsi="Arial" w:hint="default"/>
              </w:rPr>
              <w:t>本年收入合计</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24</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69,754,768.78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b w:val="1"/>
                <w:color w:val="000000"/>
                <w:position w:val="0"/>
                <w:sz w:val="18"/>
                <w:szCs w:val="18"/>
                <w:rFonts w:ascii="宋体" w:eastAsia="Arial" w:hAnsi="Arial" w:hint="default"/>
              </w:rPr>
              <w:autoSpaceDE w:val="1"/>
              <w:autoSpaceDN w:val="1"/>
            </w:pPr>
            <w:r>
              <w:rPr>
                <w:b w:val="1"/>
                <w:color w:val="000000"/>
                <w:position w:val="0"/>
                <w:sz w:val="18"/>
                <w:szCs w:val="18"/>
                <w:rFonts w:ascii="宋体" w:eastAsia="Arial" w:hAnsi="Arial" w:hint="default"/>
              </w:rPr>
              <w:t>本年支出合计</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52</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53,574,031.53</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年初财政拨款结转和结余</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25</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18,560,305.29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年末财政拨款结转和结余</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53</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34,741,042.54</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000000"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一、一般公共预算财政拨款</w:t>
            </w:r>
          </w:p>
        </w:tc>
        <w:tc>
          <w:tcPr>
            <w:tcW w:type="dxa" w:w="600"/>
            <w:vAlign w:val="center"/>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26</w:t>
            </w:r>
          </w:p>
        </w:tc>
        <w:tc>
          <w:tcPr>
            <w:tcW w:type="dxa" w:w="2565"/>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18,560,305.29　</w:t>
            </w:r>
          </w:p>
        </w:tc>
        <w:tc>
          <w:tcPr>
            <w:tcW w:type="dxa" w:w="2234"/>
            <w:vAlign w:val="center"/>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709"/>
            <w:vAlign w:val="center"/>
            <w:gridSpan w:val="2"/>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54</w:t>
            </w:r>
          </w:p>
        </w:tc>
        <w:tc>
          <w:tcPr>
            <w:tcW w:type="dxa" w:w="1754"/>
            <w:vAlign w:val="center"/>
            <w:gridSpan w:val="2"/>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878"/>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auto" w:sz="4"/>
              <w:left w:val="single" w:color="000000" w:sz="8"/>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二、政府性基金预算财政拨款</w:t>
            </w:r>
          </w:p>
        </w:tc>
        <w:tc>
          <w:tcPr>
            <w:tcW w:type="dxa" w:w="600"/>
            <w:vAlign w:val="center"/>
            <w:tcBorders>
              <w:bottom w:val="single" w:color="auto"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27</w:t>
            </w:r>
          </w:p>
        </w:tc>
        <w:tc>
          <w:tcPr>
            <w:tcW w:type="dxa" w:w="2565"/>
            <w:vAlign w:val="center"/>
            <w:gridSpan w:val="4"/>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　</w:t>
            </w:r>
          </w:p>
        </w:tc>
        <w:tc>
          <w:tcPr>
            <w:tcW w:type="dxa" w:w="2234"/>
            <w:vAlign w:val="center"/>
            <w:tcBorders>
              <w:bottom w:val="single" w:color="auto"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709"/>
            <w:vAlign w:val="center"/>
            <w:gridSpan w:val="2"/>
            <w:tcBorders>
              <w:bottom w:val="single" w:color="auto"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55</w:t>
            </w:r>
          </w:p>
        </w:tc>
        <w:tc>
          <w:tcPr>
            <w:tcW w:type="dxa" w:w="1754"/>
            <w:vAlign w:val="center"/>
            <w:gridSpan w:val="2"/>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878"/>
            <w:vAlign w:val="center"/>
            <w:gridSpan w:val="3"/>
            <w:tcBorders>
              <w:bottom w:val="single" w:color="auto"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261"/>
          <w:hidden w:val="0"/>
        </w:trPr>
        <w:tc>
          <w:tcPr>
            <w:tcW w:type="dxa" w:w="2799"/>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b w:val="1"/>
                <w:color w:val="000000"/>
                <w:position w:val="0"/>
                <w:sz w:val="18"/>
                <w:szCs w:val="18"/>
                <w:rFonts w:ascii="宋体" w:eastAsia="Arial" w:hAnsi="Arial" w:hint="default"/>
              </w:rPr>
              <w:autoSpaceDE w:val="1"/>
              <w:autoSpaceDN w:val="1"/>
            </w:pPr>
            <w:r>
              <w:rPr>
                <w:b w:val="1"/>
                <w:color w:val="000000"/>
                <w:position w:val="0"/>
                <w:sz w:val="18"/>
                <w:szCs w:val="18"/>
                <w:rFonts w:ascii="宋体" w:eastAsia="Arial" w:hAnsi="Arial" w:hint="default"/>
              </w:rPr>
              <w:t>总计</w:t>
            </w:r>
          </w:p>
        </w:tc>
        <w:tc>
          <w:tcPr>
            <w:tcW w:type="dxa" w:w="60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28</w:t>
            </w:r>
          </w:p>
        </w:tc>
        <w:tc>
          <w:tcPr>
            <w:tcW w:type="dxa" w:w="2565"/>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88,315,074.07　</w:t>
            </w:r>
          </w:p>
        </w:tc>
        <w:tc>
          <w:tcPr>
            <w:tcW w:type="dxa" w:w="2234"/>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b w:val="1"/>
                <w:color w:val="000000"/>
                <w:position w:val="0"/>
                <w:sz w:val="18"/>
                <w:szCs w:val="18"/>
                <w:rFonts w:ascii="宋体" w:eastAsia="Arial" w:hAnsi="Arial" w:hint="default"/>
              </w:rPr>
              <w:autoSpaceDE w:val="1"/>
              <w:autoSpaceDN w:val="1"/>
            </w:pPr>
            <w:r>
              <w:rPr>
                <w:b w:val="1"/>
                <w:color w:val="000000"/>
                <w:position w:val="0"/>
                <w:sz w:val="18"/>
                <w:szCs w:val="18"/>
                <w:rFonts w:ascii="宋体" w:eastAsia="Arial" w:hAnsi="Arial" w:hint="default"/>
              </w:rPr>
              <w:t>总计</w:t>
            </w:r>
          </w:p>
        </w:tc>
        <w:tc>
          <w:tcPr>
            <w:tcW w:type="dxa" w:w="709"/>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56</w:t>
            </w:r>
          </w:p>
        </w:tc>
        <w:tc>
          <w:tcPr>
            <w:tcW w:type="dxa" w:w="1754"/>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c>
          <w:tcPr>
            <w:tcW w:type="dxa" w:w="1696"/>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88,315,074.07　</w:t>
            </w:r>
          </w:p>
        </w:tc>
        <w:tc>
          <w:tcPr>
            <w:tcW w:type="dxa" w:w="1878"/>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　</w:t>
            </w:r>
          </w:p>
        </w:tc>
      </w:tr>
      <w:tr>
        <w:trPr>
          <w:trHeight w:hRule="exact" w:val="398"/>
          <w:hidden w:val="0"/>
        </w:trPr>
        <w:tc>
          <w:tcPr>
            <w:tcW w:type="dxa" w:w="14235"/>
            <w:vAlign w:val="center"/>
            <w:gridSpan w:val="21"/>
            <w:tcBorders>
              <w:bottom w:val="nil" w:color="auto"/>
              <w:left w:val="nil" w:color="auto"/>
              <w:right w:val="nil" w:color="auto"/>
              <w:top w:val="single" w:color="auto"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注：本表反映部门本年度一般公共预算财政拨款和政府性基金预算财政拨款的总收支和年末结余结转情况，数据取自财决01-1表</w:t>
            </w:r>
          </w:p>
        </w:tc>
      </w:tr>
      <w:tr>
        <w:trPr>
          <w:gridAfter w:val="1"/>
          <w:wAfter w:w="699"/>
          <w:trHeight w:hRule="atleast" w:val="1215"/>
          <w:hidden w:val="0"/>
        </w:trPr>
        <w:tc>
          <w:tcPr>
            <w:tcW w:type="dxa" w:w="13536"/>
            <w:vAlign w:val="bottom"/>
            <w:gridSpan w:val="20"/>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color w:val="auto"/>
                <w:position w:val="0"/>
                <w:sz w:val="44"/>
                <w:szCs w:val="44"/>
                <w:rFonts w:ascii="宋体" w:eastAsia="Arial" w:hAnsi="Arial" w:hint="default"/>
              </w:rPr>
              <w:autoSpaceDE w:val="1"/>
              <w:autoSpaceDN w:val="1"/>
            </w:pPr>
            <w:r>
              <w:rPr>
                <w:b w:val="1"/>
                <w:color w:val="auto"/>
                <w:position w:val="0"/>
                <w:sz w:val="36"/>
                <w:szCs w:val="36"/>
                <w:rFonts w:ascii="宋体" w:eastAsia="Arial" w:hAnsi="Arial" w:hint="default"/>
              </w:rPr>
              <w:t>一般公共预算财政拨款支出决算表</w:t>
            </w:r>
          </w:p>
        </w:tc>
      </w:tr>
      <w:tr>
        <w:trPr>
          <w:gridAfter w:val="1"/>
          <w:wAfter w:w="699"/>
          <w:trHeight w:hRule="atleast" w:val="300"/>
          <w:hidden w:val="0"/>
        </w:trPr>
        <w:tc>
          <w:tcPr>
            <w:tcW w:type="dxa" w:w="544"/>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auto"/>
                <w:position w:val="0"/>
                <w:sz w:val="20"/>
                <w:szCs w:val="20"/>
                <w:rFonts w:ascii="Arial" w:eastAsia="Arial" w:hAnsi="Arial" w:hint="default"/>
              </w:rPr>
              <w:autoSpaceDE w:val="1"/>
              <w:autoSpaceDN w:val="1"/>
            </w:pPr>
          </w:p>
        </w:tc>
        <w:tc>
          <w:tcPr>
            <w:tcW w:type="dxa" w:w="66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auto"/>
                <w:position w:val="0"/>
                <w:sz w:val="20"/>
                <w:szCs w:val="20"/>
                <w:rFonts w:ascii="Arial" w:eastAsia="Arial" w:hAnsi="Arial" w:hint="default"/>
              </w:rPr>
              <w:autoSpaceDE w:val="1"/>
              <w:autoSpaceDN w:val="1"/>
            </w:pPr>
          </w:p>
        </w:tc>
        <w:tc>
          <w:tcPr>
            <w:tcW w:type="dxa" w:w="711"/>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auto"/>
                <w:position w:val="0"/>
                <w:sz w:val="20"/>
                <w:szCs w:val="20"/>
                <w:rFonts w:ascii="Arial" w:eastAsia="Arial" w:hAnsi="Arial" w:hint="default"/>
              </w:rPr>
              <w:autoSpaceDE w:val="1"/>
              <w:autoSpaceDN w:val="1"/>
            </w:pPr>
          </w:p>
        </w:tc>
        <w:tc>
          <w:tcPr>
            <w:tcW w:type="dxa" w:w="3941"/>
            <w:vAlign w:val="bottom"/>
            <w:gridSpan w:val="5"/>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auto"/>
                <w:position w:val="0"/>
                <w:sz w:val="20"/>
                <w:szCs w:val="20"/>
                <w:rFonts w:ascii="Arial" w:eastAsia="Arial" w:hAnsi="Arial" w:hint="default"/>
              </w:rPr>
              <w:autoSpaceDE w:val="1"/>
              <w:autoSpaceDN w:val="1"/>
            </w:pPr>
          </w:p>
        </w:tc>
        <w:tc>
          <w:tcPr>
            <w:tcW w:type="dxa" w:w="2535"/>
            <w:vAlign w:val="bottom"/>
            <w:gridSpan w:val="3"/>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auto"/>
                <w:position w:val="0"/>
                <w:sz w:val="20"/>
                <w:szCs w:val="20"/>
                <w:rFonts w:ascii="Arial" w:eastAsia="Arial" w:hAnsi="Arial" w:hint="default"/>
              </w:rPr>
              <w:autoSpaceDE w:val="1"/>
              <w:autoSpaceDN w:val="1"/>
            </w:pPr>
          </w:p>
        </w:tc>
        <w:tc>
          <w:tcPr>
            <w:tcW w:type="dxa" w:w="2520"/>
            <w:vAlign w:val="bottom"/>
            <w:gridSpan w:val="4"/>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auto"/>
                <w:position w:val="0"/>
                <w:sz w:val="20"/>
                <w:szCs w:val="20"/>
                <w:rFonts w:ascii="Arial" w:eastAsia="Arial" w:hAnsi="Arial" w:hint="default"/>
              </w:rPr>
              <w:autoSpaceDE w:val="1"/>
              <w:autoSpaceDN w:val="1"/>
            </w:pPr>
          </w:p>
        </w:tc>
        <w:tc>
          <w:tcPr>
            <w:tcW w:type="dxa" w:w="2625"/>
            <w:vAlign w:val="bottom"/>
            <w:gridSpan w:val="5"/>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auto"/>
                <w:position w:val="0"/>
                <w:sz w:val="24"/>
                <w:szCs w:val="24"/>
                <w:rFonts w:ascii="宋体" w:eastAsia="Arial" w:hAnsi="Arial" w:hint="default"/>
              </w:rPr>
              <w:autoSpaceDE w:val="1"/>
              <w:autoSpaceDN w:val="1"/>
            </w:pPr>
            <w:r>
              <w:rPr>
                <w:color w:val="auto"/>
                <w:position w:val="0"/>
                <w:sz w:val="24"/>
                <w:szCs w:val="24"/>
                <w:rFonts w:ascii="宋体" w:eastAsia="Arial" w:hAnsi="Arial" w:hint="default"/>
              </w:rPr>
              <w:t>公开05表</w:t>
            </w:r>
          </w:p>
        </w:tc>
      </w:tr>
      <w:tr>
        <w:trPr>
          <w:gridAfter w:val="1"/>
          <w:wAfter w:w="699"/>
          <w:trHeight w:hRule="atleast" w:val="315"/>
          <w:hidden w:val="0"/>
        </w:trPr>
        <w:tc>
          <w:tcPr>
            <w:tcW w:type="dxa" w:w="5856"/>
            <w:vAlign w:val="bottom"/>
            <w:gridSpan w:val="8"/>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auto"/>
                <w:position w:val="0"/>
                <w:sz w:val="24"/>
                <w:szCs w:val="24"/>
                <w:rFonts w:ascii="宋体" w:eastAsia="Arial" w:hAnsi="Arial" w:hint="default"/>
              </w:rPr>
              <w:autoSpaceDE w:val="1"/>
              <w:autoSpaceDN w:val="1"/>
            </w:pPr>
            <w:r>
              <w:rPr>
                <w:color w:val="auto"/>
                <w:position w:val="0"/>
                <w:sz w:val="24"/>
                <w:szCs w:val="24"/>
                <w:rFonts w:ascii="宋体" w:eastAsia="Arial" w:hAnsi="Arial" w:hint="default"/>
              </w:rPr>
              <w:t>公开部门：宁夏回族自治区商务厅本级</w:t>
            </w:r>
          </w:p>
        </w:tc>
        <w:tc>
          <w:tcPr>
            <w:tcW w:type="dxa" w:w="2535"/>
            <w:vAlign w:val="bottom"/>
            <w:gridSpan w:val="3"/>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color w:val="auto"/>
                <w:position w:val="0"/>
                <w:sz w:val="20"/>
                <w:szCs w:val="20"/>
                <w:rFonts w:ascii="Arial" w:eastAsia="Arial" w:hAnsi="Arial" w:hint="default"/>
              </w:rPr>
              <w:autoSpaceDE w:val="1"/>
              <w:autoSpaceDN w:val="1"/>
            </w:pPr>
          </w:p>
        </w:tc>
        <w:tc>
          <w:tcPr>
            <w:tcW w:type="dxa" w:w="2520"/>
            <w:vAlign w:val="bottom"/>
            <w:gridSpan w:val="4"/>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color w:val="auto"/>
                <w:position w:val="0"/>
                <w:sz w:val="24"/>
                <w:szCs w:val="24"/>
                <w:rFonts w:ascii="宋体" w:eastAsia="Arial" w:hAnsi="Arial" w:hint="default"/>
              </w:rPr>
              <w:autoSpaceDE w:val="1"/>
              <w:autoSpaceDN w:val="1"/>
            </w:pPr>
          </w:p>
        </w:tc>
        <w:tc>
          <w:tcPr>
            <w:tcW w:type="dxa" w:w="2625"/>
            <w:vAlign w:val="bottom"/>
            <w:gridSpan w:val="5"/>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color w:val="auto"/>
                <w:position w:val="0"/>
                <w:sz w:val="24"/>
                <w:szCs w:val="24"/>
                <w:rFonts w:ascii="宋体" w:eastAsia="Arial" w:hAnsi="Arial" w:hint="default"/>
              </w:rPr>
              <w:autoSpaceDE w:val="1"/>
              <w:autoSpaceDN w:val="1"/>
            </w:pPr>
            <w:r>
              <w:rPr>
                <w:color w:val="auto"/>
                <w:position w:val="0"/>
                <w:sz w:val="24"/>
                <w:szCs w:val="24"/>
                <w:rFonts w:ascii="宋体" w:eastAsia="Arial" w:hAnsi="Arial" w:hint="default"/>
              </w:rPr>
              <w:t>金额单位：元</w:t>
            </w:r>
          </w:p>
        </w:tc>
      </w:tr>
      <w:tr>
        <w:trPr>
          <w:gridAfter w:val="1"/>
          <w:wAfter w:w="699"/>
          <w:trHeight w:hRule="atleast" w:val="308"/>
          <w:hidden w:val="0"/>
        </w:trPr>
        <w:tc>
          <w:tcPr>
            <w:tcW w:type="dxa" w:w="5856"/>
            <w:vAlign w:val="center"/>
            <w:gridSpan w:val="8"/>
            <w:tcBorders>
              <w:bottom w:val="single" w:color="000000" w:sz="4"/>
              <w:left w:val="single" w:color="000000" w:sz="8"/>
              <w:right w:val="single" w:color="000000" w:sz="4"/>
              <w:top w:val="single" w:color="000000" w:sz="8"/>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项目</w:t>
            </w:r>
          </w:p>
        </w:tc>
        <w:tc>
          <w:tcPr>
            <w:tcW w:type="dxa" w:w="2535"/>
            <w:vAlign w:val="center"/>
            <w:gridSpan w:val="3"/>
            <w:vMerge w:val="restart"/>
            <w:tcBorders>
              <w:bottom w:val="single" w:color="auto"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本年支出合计</w:t>
            </w:r>
          </w:p>
        </w:tc>
        <w:tc>
          <w:tcPr>
            <w:tcW w:type="dxa" w:w="2520"/>
            <w:vAlign w:val="center"/>
            <w:gridSpan w:val="4"/>
            <w:vMerge w:val="restart"/>
            <w:tcBorders>
              <w:bottom w:val="single" w:color="auto"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基本支出</w:t>
            </w:r>
          </w:p>
        </w:tc>
        <w:tc>
          <w:tcPr>
            <w:tcW w:type="dxa" w:w="2625"/>
            <w:vAlign w:val="center"/>
            <w:gridSpan w:val="5"/>
            <w:vMerge w:val="restart"/>
            <w:tcBorders>
              <w:bottom w:val="single" w:color="000000" w:sz="4"/>
              <w:left w:val="nil" w:color="auto"/>
              <w:right w:val="single" w:color="000000" w:sz="4"/>
              <w:top w:val="single" w:color="000000" w:sz="8"/>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项目支出</w:t>
            </w:r>
          </w:p>
        </w:tc>
      </w:tr>
      <w:tr>
        <w:trPr>
          <w:gridAfter w:val="1"/>
          <w:wAfter w:w="699"/>
          <w:trHeight w:hRule="atleast" w:val="1003"/>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功能分类科目编</w:t>
            </w:r>
            <w:r>
              <w:rPr>
                <w:color w:val="auto"/>
                <w:position w:val="0"/>
                <w:sz w:val="22"/>
                <w:szCs w:val="22"/>
                <w:rFonts w:ascii="宋体" w:eastAsia="Arial" w:hAnsi="Arial" w:hint="default"/>
              </w:rPr>
              <w:t>码</w:t>
            </w:r>
          </w:p>
        </w:tc>
        <w:tc>
          <w:tcPr>
            <w:tcW w:type="dxa" w:w="3941"/>
            <w:vAlign w:val="center"/>
            <w:gridSpan w:val="5"/>
            <w:tcBorders>
              <w:bottom w:val="single" w:color="000000" w:sz="4"/>
              <w:left w:val="nil" w:color="auto"/>
              <w:right w:val="single" w:color="auto" w:sz="4"/>
              <w:top w:val="nil" w:color="auto"/>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科目名称</w:t>
            </w:r>
          </w:p>
        </w:tc>
        <w:tc>
          <w:tcPr>
            <w:tcW w:type="dxa" w:w="2535"/>
            <w:vAlign w:val="center"/>
            <w:gridSpan w:val="3"/>
            <w:vMerge/>
            <w:tcBorders>
              <w:bottom w:val="single" w:color="auto" w:sz="4"/>
              <w:left w:val="nil" w:color="auto"/>
              <w:right w:val="single" w:color="000000" w:sz="4"/>
              <w:top w:val="single" w:color="000000" w:sz="8"/>
            </w:tcBorders>
            <w:shd w:val="clear" w:color="000000"/>
          </w:tcPr>
          <w:p/>
        </w:tc>
        <w:tc>
          <w:tcPr>
            <w:tcW w:type="dxa" w:w="2520"/>
            <w:vAlign w:val="center"/>
            <w:gridSpan w:val="4"/>
            <w:vMerge/>
            <w:tcBorders>
              <w:bottom w:val="single" w:color="auto" w:sz="4"/>
              <w:left w:val="nil" w:color="auto"/>
              <w:right w:val="single" w:color="000000" w:sz="4"/>
              <w:top w:val="single" w:color="000000" w:sz="8"/>
            </w:tcBorders>
            <w:shd w:val="clear" w:color="000000"/>
          </w:tcPr>
          <w:p/>
        </w:tc>
        <w:tc>
          <w:tcPr>
            <w:tcW w:type="dxa" w:w="2625"/>
            <w:vAlign w:val="center"/>
            <w:gridSpan w:val="5"/>
            <w:vMerge/>
            <w:tcBorders>
              <w:bottom w:val="single" w:color="000000" w:sz="4"/>
              <w:left w:val="nil" w:color="auto"/>
              <w:right w:val="single" w:color="000000" w:sz="4"/>
              <w:top w:val="single" w:color="000000" w:sz="8"/>
            </w:tcBorders>
            <w:shd w:val="clear" w:color="000000"/>
          </w:tcPr>
          <w:p/>
        </w:tc>
      </w:tr>
      <w:tr>
        <w:trPr>
          <w:gridAfter w:val="1"/>
          <w:wAfter w:w="699"/>
          <w:trHeight w:hRule="atleast" w:val="308"/>
          <w:hidden w:val="0"/>
        </w:trPr>
        <w:tc>
          <w:tcPr>
            <w:tcW w:type="dxa" w:w="544"/>
            <w:vAlign w:val="center"/>
            <w:vMerge w:val="restart"/>
            <w:tcBorders>
              <w:bottom w:val="single" w:color="000000" w:sz="4"/>
              <w:left w:val="single" w:color="000000" w:sz="8"/>
              <w:right w:val="single" w:color="000000" w:sz="4"/>
              <w:top w:val="nil" w:color="auto"/>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类</w:t>
            </w:r>
          </w:p>
        </w:tc>
        <w:tc>
          <w:tcPr>
            <w:tcW w:type="dxa" w:w="660"/>
            <w:vAlign w:val="center"/>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款</w:t>
            </w:r>
          </w:p>
        </w:tc>
        <w:tc>
          <w:tcPr>
            <w:tcW w:type="dxa" w:w="711"/>
            <w:vAlign w:val="center"/>
            <w:vMerge w:val="restart"/>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项</w:t>
            </w:r>
          </w:p>
        </w:tc>
        <w:tc>
          <w:tcPr>
            <w:tcW w:type="dxa" w:w="3941"/>
            <w:vAlign w:val="center"/>
            <w:gridSpan w:val="5"/>
            <w:tcBorders>
              <w:bottom w:val="single" w:color="000000" w:sz="4"/>
              <w:left w:val="nil" w:color="auto"/>
              <w:right w:val="single" w:color="auto" w:sz="4"/>
              <w:top w:val="nil" w:color="auto"/>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栏次</w:t>
            </w:r>
          </w:p>
        </w:tc>
        <w:tc>
          <w:tcPr>
            <w:tcW w:type="dxa" w:w="2535"/>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1</w:t>
            </w:r>
          </w:p>
        </w:tc>
        <w:tc>
          <w:tcPr>
            <w:tcW w:type="dxa" w:w="2520"/>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2</w:t>
            </w:r>
          </w:p>
        </w:tc>
        <w:tc>
          <w:tcPr>
            <w:tcW w:type="dxa" w:w="2625"/>
            <w:vAlign w:val="center"/>
            <w:gridSpan w:val="5"/>
            <w:tcBorders>
              <w:bottom w:val="single" w:color="000000" w:sz="4"/>
              <w:left w:val="single" w:color="auto" w:sz="4"/>
              <w:right w:val="single" w:color="000000" w:sz="4"/>
              <w:top w:val="nil" w:color="auto"/>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3</w:t>
            </w:r>
          </w:p>
        </w:tc>
      </w:tr>
      <w:tr>
        <w:trPr>
          <w:gridAfter w:val="1"/>
          <w:wAfter w:w="699"/>
          <w:trHeight w:hRule="atleast" w:val="308"/>
          <w:hidden w:val="0"/>
        </w:trPr>
        <w:tc>
          <w:tcPr>
            <w:tcW w:type="dxa" w:w="544"/>
            <w:vAlign w:val="center"/>
            <w:vMerge/>
            <w:tcBorders>
              <w:bottom w:val="single" w:color="000000" w:sz="4"/>
              <w:left w:val="single" w:color="000000" w:sz="8"/>
              <w:right w:val="single" w:color="000000" w:sz="4"/>
              <w:top w:val="nil" w:color="auto"/>
            </w:tcBorders>
            <w:shd w:val="clear" w:color="000000"/>
          </w:tcPr>
          <w:p/>
        </w:tc>
        <w:tc>
          <w:tcPr>
            <w:tcW w:type="dxa" w:w="660"/>
            <w:vAlign w:val="center"/>
            <w:vMerge/>
            <w:tcBorders>
              <w:bottom w:val="single" w:color="000000" w:sz="4"/>
              <w:left w:val="nil" w:color="auto"/>
              <w:right w:val="single" w:color="000000" w:sz="4"/>
              <w:top w:val="nil" w:color="auto"/>
            </w:tcBorders>
            <w:shd w:val="clear" w:color="000000"/>
          </w:tcPr>
          <w:p/>
        </w:tc>
        <w:tc>
          <w:tcPr>
            <w:tcW w:type="dxa" w:w="711"/>
            <w:vAlign w:val="center"/>
            <w:vMerge/>
            <w:tcBorders>
              <w:bottom w:val="single" w:color="000000" w:sz="4"/>
              <w:left w:val="nil" w:color="auto"/>
              <w:right w:val="single" w:color="000000" w:sz="4"/>
              <w:top w:val="nil" w:color="auto"/>
            </w:tcBorders>
            <w:shd w:val="clear" w:color="000000"/>
          </w:tcP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center"/>
              <w:spacing w:lineRule="auto" w:line="240" w:before="0" w:after="160"/>
              <w:ind w:right="0" w:firstLine="0"/>
              <w:rPr>
                <w:color w:val="auto"/>
                <w:position w:val="0"/>
                <w:sz w:val="22"/>
                <w:szCs w:val="22"/>
                <w:rFonts w:ascii="宋体" w:eastAsia="Arial" w:hAnsi="Arial" w:hint="default"/>
              </w:rPr>
              <w:autoSpaceDE w:val="1"/>
              <w:autoSpaceDN w:val="1"/>
            </w:pPr>
            <w:r>
              <w:rPr>
                <w:color w:val="auto"/>
                <w:position w:val="0"/>
                <w:sz w:val="22"/>
                <w:szCs w:val="22"/>
                <w:rFonts w:ascii="宋体" w:eastAsia="Arial" w:hAnsi="Arial" w:hint="default"/>
              </w:rPr>
              <w:t>合计</w:t>
            </w:r>
          </w:p>
        </w:tc>
        <w:tc>
          <w:tcPr>
            <w:tcW w:type="dxa" w:w="2535"/>
            <w:vAlign w:val="center"/>
            <w:gridSpan w:val="3"/>
            <w:tcBorders>
              <w:bottom w:val="single" w:color="000000" w:sz="4"/>
              <w:left w:val="nil" w:color="auto"/>
              <w:right w:val="single" w:color="000000" w:sz="4"/>
              <w:top w:val="single" w:color="auto" w:sz="4"/>
            </w:tcBorders>
            <w:shd w:val="clear" w:color="000000"/>
          </w:tcPr>
          <w:p>
            <w:pPr>
              <w:numPr>
                <w:ilvl w:val="0"/>
                <w:numId w:val="0"/>
              </w:numPr>
              <w:jc w:val="right"/>
              <w:spacing w:lineRule="auto" w:line="240" w:before="0" w:after="160"/>
              <w:ind w:right="0" w:firstLine="0"/>
              <w:rPr>
                <w:color w:val="auto"/>
                <w:position w:val="0"/>
                <w:sz w:val="18"/>
                <w:szCs w:val="18"/>
                <w:rFonts w:ascii="宋体" w:eastAsia="Arial" w:hAnsi="Arial" w:hint="default"/>
              </w:rPr>
              <w:autoSpaceDE w:val="1"/>
              <w:autoSpaceDN w:val="1"/>
            </w:pPr>
            <w:r>
              <w:rPr>
                <w:color w:val="auto"/>
                <w:position w:val="0"/>
                <w:sz w:val="18"/>
                <w:szCs w:val="18"/>
                <w:rFonts w:ascii="宋体" w:eastAsia="宋体" w:hAnsi="宋体" w:hint="default"/>
              </w:rPr>
              <w:t>53,574,031.53</w:t>
            </w:r>
          </w:p>
        </w:tc>
        <w:tc>
          <w:tcPr>
            <w:tcW w:type="dxa" w:w="2520"/>
            <w:vAlign w:val="center"/>
            <w:gridSpan w:val="4"/>
            <w:tcBorders>
              <w:bottom w:val="single" w:color="000000" w:sz="4"/>
              <w:left w:val="nil" w:color="auto"/>
              <w:right w:val="single" w:color="000000" w:sz="4"/>
              <w:top w:val="single" w:color="auto" w:sz="4"/>
            </w:tcBorders>
            <w:shd w:val="clear" w:color="000000"/>
          </w:tcPr>
          <w:p>
            <w:pPr>
              <w:numPr>
                <w:ilvl w:val="0"/>
                <w:numId w:val="0"/>
              </w:numPr>
              <w:jc w:val="right"/>
              <w:spacing w:lineRule="auto" w:line="240" w:before="0" w:after="160"/>
              <w:ind w:right="0" w:firstLine="0"/>
              <w:rPr>
                <w:color w:val="auto"/>
                <w:position w:val="0"/>
                <w:sz w:val="18"/>
                <w:szCs w:val="18"/>
                <w:rFonts w:ascii="宋体" w:eastAsia="宋体" w:hAnsi="宋体" w:hint="default"/>
              </w:rPr>
              <w:autoSpaceDE w:val="1"/>
              <w:autoSpaceDN w:val="1"/>
            </w:pPr>
            <w:r>
              <w:rPr>
                <w:color w:val="auto"/>
                <w:position w:val="0"/>
                <w:sz w:val="18"/>
                <w:szCs w:val="18"/>
                <w:rFonts w:ascii="宋体" w:eastAsia="宋体" w:hAnsi="宋体" w:hint="default"/>
              </w:rPr>
              <w:t>26,322,613.06</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auto"/>
                <w:position w:val="0"/>
                <w:sz w:val="18"/>
                <w:szCs w:val="18"/>
                <w:rFonts w:ascii="宋体" w:eastAsia="宋体" w:hAnsi="宋体" w:hint="default"/>
              </w:rPr>
              <w:autoSpaceDE w:val="1"/>
              <w:autoSpaceDN w:val="1"/>
            </w:pPr>
            <w:r>
              <w:rPr>
                <w:color w:val="auto"/>
                <w:position w:val="0"/>
                <w:sz w:val="18"/>
                <w:szCs w:val="18"/>
                <w:rFonts w:ascii="宋体" w:eastAsia="宋体" w:hAnsi="宋体" w:hint="default"/>
              </w:rPr>
              <w:t>27,251,418.47</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auto"/>
                <w:position w:val="0"/>
                <w:sz w:val="18"/>
                <w:szCs w:val="18"/>
                <w:rFonts w:ascii="宋体" w:eastAsia="Arial" w:hAnsi="Arial" w:hint="default"/>
              </w:rPr>
              <w:autoSpaceDE w:val="1"/>
              <w:autoSpaceDN w:val="1"/>
            </w:pPr>
            <w:r>
              <w:rPr>
                <w:color w:val="auto"/>
                <w:position w:val="0"/>
                <w:sz w:val="18"/>
                <w:szCs w:val="18"/>
                <w:rFonts w:ascii="宋体" w:eastAsia="宋体" w:hAnsi="宋体" w:hint="default"/>
              </w:rPr>
              <w:t>201</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auto"/>
                <w:position w:val="0"/>
                <w:sz w:val="18"/>
                <w:szCs w:val="18"/>
                <w:rFonts w:ascii="宋体" w:eastAsia="Arial" w:hAnsi="Arial" w:hint="default"/>
              </w:rPr>
              <w:autoSpaceDE w:val="1"/>
              <w:autoSpaceDN w:val="1"/>
            </w:pPr>
            <w:r>
              <w:rPr>
                <w:color w:val="auto"/>
                <w:position w:val="0"/>
                <w:sz w:val="18"/>
                <w:szCs w:val="18"/>
                <w:rFonts w:ascii="宋体" w:eastAsia="宋体" w:hAnsi="宋体" w:hint="default"/>
              </w:rPr>
              <w:t>一般公共服务支出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auto"/>
                <w:position w:val="0"/>
                <w:sz w:val="18"/>
                <w:szCs w:val="18"/>
                <w:rFonts w:ascii="宋体" w:eastAsia="宋体" w:hAnsi="宋体" w:hint="default"/>
              </w:rPr>
              <w:autoSpaceDE w:val="1"/>
              <w:autoSpaceDN w:val="1"/>
            </w:pPr>
            <w:r>
              <w:rPr>
                <w:color w:val="auto"/>
                <w:position w:val="0"/>
                <w:sz w:val="18"/>
                <w:szCs w:val="18"/>
                <w:rFonts w:ascii="宋体" w:eastAsia="宋体" w:hAnsi="宋体" w:hint="default"/>
              </w:rPr>
              <w:t>34,359,023.33</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auto"/>
                <w:position w:val="0"/>
                <w:sz w:val="18"/>
                <w:szCs w:val="18"/>
                <w:rFonts w:ascii="宋体" w:eastAsia="Arial" w:hAnsi="Arial" w:hint="default"/>
              </w:rPr>
              <w:autoSpaceDE w:val="1"/>
              <w:autoSpaceDN w:val="1"/>
            </w:pPr>
            <w:r>
              <w:rPr>
                <w:color w:val="auto"/>
                <w:position w:val="0"/>
                <w:sz w:val="18"/>
                <w:szCs w:val="18"/>
                <w:rFonts w:ascii="宋体" w:eastAsia="宋体" w:hAnsi="宋体" w:hint="default"/>
              </w:rPr>
              <w:t>17,407,974.46</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auto"/>
                <w:position w:val="0"/>
                <w:sz w:val="18"/>
                <w:szCs w:val="18"/>
                <w:rFonts w:ascii="宋体" w:eastAsia="宋体" w:hAnsi="宋体" w:hint="default"/>
              </w:rPr>
              <w:autoSpaceDE w:val="1"/>
              <w:autoSpaceDN w:val="1"/>
            </w:pPr>
            <w:r>
              <w:rPr>
                <w:color w:val="auto"/>
                <w:position w:val="0"/>
                <w:sz w:val="18"/>
                <w:szCs w:val="18"/>
                <w:rFonts w:ascii="宋体" w:eastAsia="宋体" w:hAnsi="宋体" w:hint="default"/>
              </w:rPr>
              <w:t>16,951,048.87</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20113</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商贸事务</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34,345,423.33</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17,407,974.46</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16,937,448.87</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2011301</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行政运行</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17,407,974.46</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17,407,974.46</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2011302</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一般行政管理事务</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6,524,151.49</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6,524,151.49</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2011308</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招商引资</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10,413,297.38</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10,413,297.38</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20132</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组织事务</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2013202</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一般行政管理事务</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13,600.00</w:t>
            </w:r>
          </w:p>
        </w:tc>
      </w:tr>
      <w:tr>
        <w:trPr>
          <w:gridAfter w:val="1"/>
          <w:wAfter w:w="699"/>
          <w:trHeight w:hRule="atleast" w:val="293"/>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206</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科学技术支出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20699</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其他科学技术支出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2069999</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其他科学技术支出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166,000.00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208</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社会保障和就业支出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6,323,673.20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7,171,436.00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20805</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行政事业单位离退休</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6,323,673.20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7,171,436.00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2080504</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未归口管理的行政单位离退休</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4,607,555.16</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4,659,036.00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2080505</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机关事业单位基本养老保险缴费支出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1,716,118.04</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1,794,600.00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2080506</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机关事业单位职业年金缴费支出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210</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医疗卫生与计划生育支出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1,056,771.40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1,056,771.40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21011</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行政事业单位医疗</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1,056,771.40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1,056,771.40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2101101</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行政单位医疗</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588,270.54</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588,270.54</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2101103</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公务员医疗补助</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468,500.86</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468,500.86</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212</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城乡社区支出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21203</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城乡社区公共设施</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2120399</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其他城乡社区公共设施支出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214</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交通运输支出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21403</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民用航空运输</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2140304</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机场建设</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4,887,468.00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215</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资源勘探信息等支出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21506</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安全生产监管</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2150602</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一般行政管理事务</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50,000.00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216</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商业服务业等支出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5,196,901.60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5,196,901.60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21602</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商业流通事务</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3,849,239.40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3,849,239.40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2160202</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一般行政管理事务</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2160299</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其他商业流通事务支出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3,849,239.40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3,849,239.40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21606</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涉外发展服务支出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956,053.20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956,053.20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2160699</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其他涉外发展服务支出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956,053.20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956,053.20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21699</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其他商业服务业等支出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391,609.00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391,609.00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2169999</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其他商业服务业等支出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391,609.00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391,609.00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221</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住房保障支出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1,534,194.00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1,534,194.00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22102</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住房改革支出</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1,534,194.00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1,534,194.00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2210201</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住房公积金</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1,098,794.00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1,098,794.00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308"/>
          <w:hidden w:val="0"/>
        </w:trPr>
        <w:tc>
          <w:tcPr>
            <w:tcW w:type="dxa" w:w="1915"/>
            <w:vAlign w:val="center"/>
            <w:gridSpan w:val="3"/>
            <w:tcBorders>
              <w:bottom w:val="single" w:color="000000" w:sz="4"/>
              <w:left w:val="single" w:color="000000" w:sz="8"/>
              <w:right w:val="single" w:color="000000" w:sz="4"/>
              <w:top w:val="single" w:color="000000" w:sz="4"/>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2210203</w:t>
            </w:r>
          </w:p>
        </w:tc>
        <w:tc>
          <w:tcPr>
            <w:tcW w:type="dxa" w:w="3941"/>
            <w:vAlign w:val="center"/>
            <w:gridSpan w:val="5"/>
            <w:tcBorders>
              <w:bottom w:val="single" w:color="000000" w:sz="4"/>
              <w:left w:val="nil" w:color="auto"/>
              <w:right w:val="single" w:color="000000" w:sz="4"/>
              <w:top w:val="nil" w:color="auto"/>
            </w:tcBorders>
            <w:shd w:val="clear" w:color="000000"/>
          </w:tcPr>
          <w:p>
            <w:pPr>
              <w:numPr>
                <w:ilvl w:val="0"/>
                <w:numId w:val="0"/>
              </w:numPr>
              <w:jc w:val="lef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 xml:space="preserve">  购房补贴</w:t>
            </w:r>
          </w:p>
        </w:tc>
        <w:tc>
          <w:tcPr>
            <w:tcW w:type="dxa" w:w="2535"/>
            <w:vAlign w:val="center"/>
            <w:gridSpan w:val="3"/>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435,400.00</w:t>
            </w:r>
          </w:p>
        </w:tc>
        <w:tc>
          <w:tcPr>
            <w:tcW w:type="dxa" w:w="2520"/>
            <w:vAlign w:val="center"/>
            <w:gridSpan w:val="4"/>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宋体" w:hAnsi="宋体" w:hint="default"/>
              </w:rPr>
              <w:t>435,400.00</w:t>
            </w:r>
          </w:p>
        </w:tc>
        <w:tc>
          <w:tcPr>
            <w:tcW w:type="dxa" w:w="2625"/>
            <w:vAlign w:val="center"/>
            <w:gridSpan w:val="5"/>
            <w:tcBorders>
              <w:bottom w:val="single" w:color="000000" w:sz="4"/>
              <w:left w:val="nil" w:color="auto"/>
              <w:right w:val="single" w:color="000000" w:sz="4"/>
              <w:top w:val="nil" w:color="auto"/>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r>
      <w:tr>
        <w:trPr>
          <w:gridAfter w:val="1"/>
          <w:wAfter w:w="699"/>
          <w:trHeight w:hRule="atleast" w:val="510"/>
          <w:hidden w:val="0"/>
        </w:trPr>
        <w:tc>
          <w:tcPr>
            <w:tcW w:type="dxa" w:w="13536"/>
            <w:vAlign w:val="bottom"/>
            <w:gridSpan w:val="20"/>
            <w:tcBorders>
              <w:bottom w:val="nil" w:color="auto"/>
              <w:left w:val="nil" w:color="auto"/>
              <w:right w:val="nil" w:color="auto"/>
              <w:top w:val="single" w:color="000000" w:sz="8"/>
            </w:tcBorders>
            <w:shd w:val="clear" w:color="000000"/>
          </w:tcPr>
          <w:p>
            <w:pPr>
              <w:numPr>
                <w:ilvl w:val="0"/>
                <w:numId w:val="0"/>
              </w:numPr>
              <w:jc w:val="left"/>
              <w:spacing w:lineRule="auto" w:line="240" w:before="0" w:after="160"/>
              <w:ind w:right="0" w:firstLine="0"/>
              <w:rPr>
                <w:color w:val="000000"/>
                <w:position w:val="0"/>
                <w:sz w:val="22"/>
                <w:szCs w:val="22"/>
                <w:rFonts w:ascii="宋体" w:eastAsia="Arial" w:hAnsi="Arial" w:hint="default"/>
              </w:rPr>
              <w:autoSpaceDE w:val="1"/>
              <w:autoSpaceDN w:val="1"/>
            </w:pPr>
            <w:r>
              <w:rPr>
                <w:color w:val="000000"/>
                <w:position w:val="0"/>
                <w:sz w:val="22"/>
                <w:szCs w:val="22"/>
                <w:rFonts w:ascii="宋体" w:eastAsia="Arial" w:hAnsi="Arial" w:hint="default"/>
              </w:rPr>
              <w:t>注：本表反映部门本年度一般公共预算财政拨款实际支出情况，数据取自财决07表</w:t>
            </w:r>
          </w:p>
        </w:tc>
      </w:tr>
    </w:tbl>
    <w:tbl>
      <w:tblID w:val="0"/>
      <w:tblPr>
        <w:tblStyle w:val="PO37"/>
        <w:tblpPr w:leftFromText="180" w:rightFromText="180" w:vertAnchor="text" w:horzAnchor="page" w:tblpX="1407" w:tblpY="-9149"/>
        <w:tblOverlap w:val="never"/>
        <w:tblCellMar>
          <w:left w:w="0" w:type="dxa"/>
          <w:top w:w="0" w:type="dxa"/>
          <w:right w:w="0" w:type="dxa"/>
          <w:bottom w:w="0" w:type="dxa"/>
        </w:tblCellMar>
        <w:tblW w:w="14028" w:type="dxa"/>
        <w:tblLook w:val="000000" w:firstRow="0" w:lastRow="0" w:firstColumn="0" w:lastColumn="0" w:noHBand="0" w:noVBand="0"/>
        <w:tblLayout w:type="fixed"/>
      </w:tblPr>
      <w:tblGrid>
        <w:gridCol w:w="888"/>
        <w:gridCol w:w="2745"/>
        <w:gridCol w:w="1356"/>
        <w:gridCol w:w="69"/>
        <w:gridCol w:w="990"/>
        <w:gridCol w:w="1905"/>
        <w:gridCol w:w="1365"/>
        <w:gridCol w:w="1005"/>
        <w:gridCol w:w="2103"/>
        <w:gridCol w:w="87"/>
        <w:gridCol w:w="1515"/>
      </w:tblGrid>
      <w:tr>
        <w:trPr>
          <w:trHeight w:hRule="atleast" w:val="899"/>
          <w:hidden w:val="0"/>
        </w:trPr>
        <w:tc>
          <w:tcPr>
            <w:tcW w:type="dxa" w:w="14028"/>
            <w:tcMar>
              <w:left w:w="12" w:type="dxa"/>
              <w:right w:w="12" w:type="dxa"/>
              <w:top w:w="12" w:type="dxa"/>
            </w:tcMar>
            <w:vAlign w:val="center"/>
            <w:gridSpan w:val="11"/>
            <w:tcBorders>
              <w:bottom w:val="nil" w:color="auto"/>
              <w:left w:val="nil" w:color="auto"/>
              <w:right w:val="nil" w:color="auto"/>
              <w:top w:val="nil" w:color="auto"/>
            </w:tcBorders>
            <w:shd w:val="clear" w:color="000000"/>
          </w:tcPr>
          <w:p>
            <w:pPr>
              <w:numPr>
                <w:ilvl w:val="0"/>
                <w:numId w:val="0"/>
              </w:numPr>
              <w:jc w:val="center"/>
              <w:spacing w:lineRule="exact" w:line="180" w:before="0" w:after="160"/>
              <w:ind w:right="0" w:firstLine="0"/>
              <w:rPr>
                <w:b w:val="1"/>
                <w:color w:val="000000"/>
                <w:position w:val="0"/>
                <w:sz w:val="36"/>
                <w:szCs w:val="36"/>
                <w:rFonts w:ascii="宋体" w:eastAsia="Arial" w:hAnsi="Arial" w:hint="default"/>
              </w:rPr>
              <w:autoSpaceDE w:val="1"/>
              <w:autoSpaceDN w:val="1"/>
            </w:pPr>
          </w:p>
          <w:p>
            <w:pPr>
              <w:numPr>
                <w:ilvl w:val="0"/>
                <w:numId w:val="0"/>
              </w:numPr>
              <w:jc w:val="center"/>
              <w:spacing w:lineRule="exact" w:line="320" w:before="0" w:after="160"/>
              <w:ind w:right="0" w:firstLine="0"/>
              <w:rPr>
                <w:color w:val="000000"/>
                <w:position w:val="0"/>
                <w:sz w:val="36"/>
                <w:szCs w:val="36"/>
                <w:rFonts w:ascii="华文中宋" w:eastAsia="华文中宋" w:hAnsi="华文中宋" w:hint="default"/>
              </w:rPr>
              <w:autoSpaceDE w:val="1"/>
              <w:autoSpaceDN w:val="1"/>
            </w:pPr>
            <w:r>
              <w:rPr>
                <w:b w:val="1"/>
                <w:color w:val="000000"/>
                <w:position w:val="0"/>
                <w:sz w:val="36"/>
                <w:szCs w:val="36"/>
                <w:rFonts w:ascii="宋体" w:eastAsia="Arial" w:hAnsi="Arial" w:hint="default"/>
              </w:rPr>
              <w:t>一般公共预算财政拨款基本支出决算表</w:t>
            </w:r>
          </w:p>
        </w:tc>
      </w:tr>
      <w:tr>
        <w:trPr>
          <w:trHeight w:hRule="atleast" w:val="28"/>
          <w:hidden w:val="0"/>
        </w:trPr>
        <w:tc>
          <w:tcPr>
            <w:tcW w:type="dxa" w:w="4989"/>
            <w:tcMar>
              <w:left w:w="12" w:type="dxa"/>
              <w:right w:w="12" w:type="dxa"/>
              <w:top w:w="12" w:type="dxa"/>
            </w:tcMar>
            <w:vAlign w:val="center"/>
            <w:gridSpan w:val="3"/>
            <w:tcBorders>
              <w:bottom w:val="nil" w:color="auto"/>
              <w:left w:val="nil" w:color="auto"/>
              <w:right w:val="nil" w:color="auto"/>
              <w:top w:val="nil" w:color="auto"/>
            </w:tcBorders>
            <w:shd w:val="clear" w:color="000000" w:fill="FFFFFF"/>
          </w:tcPr>
          <w:p>
            <w:pPr>
              <w:numPr>
                <w:ilvl w:val="0"/>
                <w:numId w:val="0"/>
              </w:numPr>
              <w:jc w:val="center"/>
              <w:spacing w:lineRule="exact" w:line="180" w:before="0" w:after="160"/>
              <w:ind w:right="0" w:firstLine="0"/>
              <w:rPr>
                <w:b w:val="1"/>
                <w:color w:val="auto"/>
                <w:position w:val="0"/>
                <w:sz w:val="18"/>
                <w:szCs w:val="18"/>
                <w:rFonts w:ascii="宋体" w:eastAsia="宋体" w:hAnsi="宋体" w:hint="default"/>
              </w:rPr>
              <w:autoSpaceDE w:val="1"/>
              <w:autoSpaceDN w:val="1"/>
            </w:pPr>
          </w:p>
        </w:tc>
        <w:tc>
          <w:tcPr>
            <w:tcW w:type="dxa" w:w="7437"/>
            <w:tcMar>
              <w:left w:w="12" w:type="dxa"/>
              <w:right w:w="12" w:type="dxa"/>
              <w:top w:w="12" w:type="dxa"/>
            </w:tcMar>
            <w:vAlign w:val="center"/>
            <w:gridSpan w:val="6"/>
            <w:tcBorders>
              <w:bottom w:val="nil" w:color="auto"/>
              <w:left w:val="nil" w:color="auto"/>
              <w:right w:val="nil" w:color="auto"/>
              <w:top w:val="nil" w:color="auto"/>
            </w:tcBorders>
            <w:shd w:val="clear" w:color="000000" w:fill="FFFFFF"/>
          </w:tcPr>
          <w:p>
            <w:pPr>
              <w:numPr>
                <w:ilvl w:val="0"/>
                <w:numId w:val="0"/>
              </w:numPr>
              <w:jc w:val="both"/>
              <w:spacing w:lineRule="exact" w:line="180" w:before="0" w:after="160"/>
              <w:ind w:right="0" w:firstLine="0"/>
              <w:rPr>
                <w:b w:val="1"/>
                <w:color w:val="auto"/>
                <w:position w:val="0"/>
                <w:sz w:val="18"/>
                <w:szCs w:val="18"/>
                <w:rFonts w:ascii="宋体" w:eastAsia="宋体" w:hAnsi="宋体" w:hint="default"/>
              </w:rPr>
              <w:autoSpaceDE w:val="1"/>
              <w:autoSpaceDN w:val="1"/>
            </w:pPr>
          </w:p>
        </w:tc>
        <w:tc>
          <w:tcPr>
            <w:tcW w:type="dxa" w:w="1602"/>
            <w:tcMar>
              <w:left w:w="12" w:type="dxa"/>
              <w:right w:w="12" w:type="dxa"/>
              <w:top w:w="12" w:type="dxa"/>
            </w:tcMar>
            <w:vAlign w:val="center"/>
            <w:gridSpan w:val="2"/>
            <w:tcBorders>
              <w:bottom w:val="nil" w:color="auto"/>
              <w:left w:val="nil" w:color="auto"/>
              <w:right w:val="nil" w:color="auto"/>
              <w:top w:val="nil" w:color="auto"/>
            </w:tcBorders>
            <w:shd w:val="clear" w:color="000000" w:fill="FFFFFF"/>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公开06表</w:t>
            </w:r>
          </w:p>
        </w:tc>
      </w:tr>
      <w:tr>
        <w:trPr>
          <w:trHeight w:hRule="atleast" w:val="28"/>
          <w:hidden w:val="0"/>
        </w:trPr>
        <w:tc>
          <w:tcPr>
            <w:tcW w:type="dxa" w:w="3633"/>
            <w:tcMar>
              <w:left w:w="12" w:type="dxa"/>
              <w:right w:w="12" w:type="dxa"/>
              <w:top w:w="12" w:type="dxa"/>
            </w:tcMar>
            <w:vAlign w:val="center"/>
            <w:gridSpan w:val="2"/>
            <w:tcBorders>
              <w:bottom w:val="nil" w:color="auto"/>
              <w:left w:val="nil" w:color="auto"/>
              <w:right w:val="nil" w:color="auto"/>
              <w:top w:val="nil" w:color="auto"/>
            </w:tcBorders>
            <w:shd w:val="clear" w:color="000000"/>
          </w:tcPr>
          <w:p>
            <w:pPr>
              <w:numPr>
                <w:ilvl w:val="0"/>
                <w:numId w:val="0"/>
              </w:numPr>
              <w:jc w:val="left"/>
              <w:spacing w:lineRule="exact" w:line="240" w:before="0" w:after="160"/>
              <w:ind w:right="0" w:firstLine="0"/>
              <w:rPr>
                <w:color w:val="000000"/>
                <w:position w:val="0"/>
                <w:sz w:val="21"/>
                <w:szCs w:val="21"/>
                <w:rFonts w:ascii="Arial" w:eastAsia="Arial" w:hAnsi="Arial" w:hint="default"/>
              </w:rPr>
              <w:autoSpaceDE w:val="1"/>
              <w:autoSpaceDN w:val="1"/>
            </w:pPr>
            <w:r>
              <w:rPr>
                <w:color w:val="000000"/>
                <w:position w:val="0"/>
                <w:sz w:val="21"/>
                <w:szCs w:val="21"/>
                <w:rFonts w:ascii="Arial" w:eastAsia="Arial" w:hAnsi="Arial" w:hint="default"/>
              </w:rPr>
              <w:t>公开部门：宁夏回族自治区商务厅本级</w:t>
            </w:r>
          </w:p>
        </w:tc>
        <w:tc>
          <w:tcPr>
            <w:tcW w:type="dxa" w:w="8793"/>
            <w:tcMar>
              <w:left w:w="12" w:type="dxa"/>
              <w:right w:w="12" w:type="dxa"/>
              <w:top w:w="12" w:type="dxa"/>
            </w:tcMar>
            <w:vAlign w:val="center"/>
            <w:gridSpan w:val="7"/>
            <w:tcBorders>
              <w:bottom w:val="nil" w:color="auto"/>
              <w:left w:val="nil" w:color="auto"/>
              <w:right w:val="nil" w:color="auto"/>
              <w:top w:val="nil" w:color="auto"/>
            </w:tcBorders>
            <w:shd w:val="clear" w:color="000000"/>
          </w:tcPr>
          <w:p>
            <w:pPr>
              <w:numPr>
                <w:ilvl w:val="0"/>
                <w:numId w:val="0"/>
              </w:numPr>
              <w:jc w:val="both"/>
              <w:spacing w:lineRule="exact" w:line="180" w:before="0" w:after="160"/>
              <w:ind w:right="0" w:firstLine="0"/>
              <w:rPr>
                <w:color w:val="000000"/>
                <w:position w:val="0"/>
                <w:sz w:val="18"/>
                <w:szCs w:val="18"/>
                <w:rFonts w:ascii="Arial" w:eastAsia="Arial" w:hAnsi="Arial" w:hint="default"/>
              </w:rPr>
              <w:autoSpaceDE w:val="1"/>
              <w:autoSpaceDN w:val="1"/>
            </w:pPr>
          </w:p>
        </w:tc>
        <w:tc>
          <w:tcPr>
            <w:tcW w:type="dxa" w:w="1602"/>
            <w:tcMar>
              <w:left w:w="12" w:type="dxa"/>
              <w:right w:w="12" w:type="dxa"/>
              <w:top w:w="12" w:type="dxa"/>
            </w:tcMar>
            <w:vAlign w:val="center"/>
            <w:gridSpan w:val="2"/>
            <w:tcBorders>
              <w:bottom w:val="nil" w:color="auto"/>
              <w:left w:val="nil" w:color="auto"/>
              <w:right w:val="nil" w:color="auto"/>
              <w:top w:val="nil" w:color="auto"/>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金额单位：元</w:t>
            </w:r>
            <w:r>
              <w:rPr>
                <w:color w:val="000000"/>
                <w:position w:val="0"/>
                <w:sz w:val="18"/>
                <w:szCs w:val="18"/>
                <w:vanish w:val="true"/>
                <w:rFonts w:ascii="宋体" w:eastAsia="宋体" w:hAnsi="宋体" w:hint="default"/>
              </w:rPr>
              <w:t>元</w:t>
            </w:r>
          </w:p>
        </w:tc>
      </w:tr>
      <w:tr>
        <w:trPr>
          <w:trHeight w:hRule="exact" w:val="238"/>
          <w:hidden w:val="0"/>
        </w:trPr>
        <w:tc>
          <w:tcPr>
            <w:tcW w:type="dxa" w:w="5058"/>
            <w:tcMar>
              <w:left w:w="12" w:type="dxa"/>
              <w:right w:w="12" w:type="dxa"/>
              <w:top w:w="12" w:type="dxa"/>
            </w:tcMar>
            <w:vAlign w:val="center"/>
            <w:gridSpan w:val="4"/>
            <w:tcBorders>
              <w:bottom w:val="single" w:color="auto" w:sz="4"/>
              <w:left w:val="single" w:color="auto" w:sz="8"/>
              <w:right w:val="single" w:color="auto" w:sz="4"/>
              <w:top w:val="single" w:color="auto" w:sz="8"/>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人员经费</w:t>
            </w:r>
          </w:p>
        </w:tc>
        <w:tc>
          <w:tcPr>
            <w:tcW w:type="dxa" w:w="8970"/>
            <w:tcMar>
              <w:left w:w="12" w:type="dxa"/>
              <w:right w:w="12" w:type="dxa"/>
              <w:top w:w="12" w:type="dxa"/>
            </w:tcMar>
            <w:vAlign w:val="center"/>
            <w:gridSpan w:val="7"/>
            <w:tcBorders>
              <w:bottom w:val="single" w:color="auto" w:sz="4"/>
              <w:left w:val="single" w:color="auto" w:sz="4"/>
              <w:right w:val="single" w:color="auto" w:sz="8"/>
              <w:top w:val="single" w:color="auto" w:sz="8"/>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公用经费</w:t>
            </w:r>
          </w:p>
        </w:tc>
      </w:tr>
      <w:tr>
        <w:trPr>
          <w:trHeight w:hRule="exact" w:val="312"/>
          <w:hidden w:val="0"/>
        </w:trPr>
        <w:tc>
          <w:tcPr>
            <w:tcW w:type="dxa" w:w="888"/>
            <w:tcMar>
              <w:left w:w="12" w:type="dxa"/>
              <w:right w:w="12" w:type="dxa"/>
              <w:top w:w="12" w:type="dxa"/>
            </w:tcMar>
            <w:vAlign w:val="center"/>
            <w:tcBorders>
              <w:left w:val="single" w:color="auto" w:sz="8"/>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经济分类</w:t>
            </w:r>
          </w:p>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科目编码</w:t>
            </w:r>
          </w:p>
        </w:tc>
        <w:tc>
          <w:tcPr>
            <w:tcW w:type="dxa" w:w="2745"/>
            <w:tcMar>
              <w:left w:w="12" w:type="dxa"/>
              <w:right w:w="12" w:type="dxa"/>
              <w:top w:w="12" w:type="dxa"/>
            </w:tcMar>
            <w:vAlign w:val="center"/>
            <w:tcBorders>
              <w:left w:val="single" w:color="auto" w:sz="4"/>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科目名称</w:t>
            </w:r>
          </w:p>
        </w:tc>
        <w:tc>
          <w:tcPr>
            <w:tcW w:type="dxa" w:w="1425"/>
            <w:tcMar>
              <w:left w:w="12" w:type="dxa"/>
              <w:right w:w="12" w:type="dxa"/>
              <w:top w:w="12" w:type="dxa"/>
            </w:tcMar>
            <w:vAlign w:val="center"/>
            <w:gridSpan w:val="2"/>
            <w:tcBorders>
              <w:left w:val="single" w:color="auto" w:sz="4"/>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金额</w:t>
            </w:r>
          </w:p>
        </w:tc>
        <w:tc>
          <w:tcPr>
            <w:tcW w:type="dxa" w:w="990"/>
            <w:tcMar>
              <w:left w:w="12" w:type="dxa"/>
              <w:right w:w="12" w:type="dxa"/>
              <w:top w:w="12" w:type="dxa"/>
            </w:tcMar>
            <w:vAlign w:val="center"/>
            <w:tcBorders>
              <w:left w:val="single" w:color="auto" w:sz="4"/>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经济分类</w:t>
            </w:r>
          </w:p>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科目编码</w:t>
            </w:r>
          </w:p>
        </w:tc>
        <w:tc>
          <w:tcPr>
            <w:tcW w:type="dxa" w:w="1905"/>
            <w:tcMar>
              <w:left w:w="12" w:type="dxa"/>
              <w:right w:w="12" w:type="dxa"/>
              <w:top w:w="12" w:type="dxa"/>
            </w:tcMar>
            <w:vAlign w:val="center"/>
            <w:tcBorders>
              <w:left w:val="single" w:color="auto" w:sz="4"/>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科目名称</w:t>
            </w:r>
          </w:p>
        </w:tc>
        <w:tc>
          <w:tcPr>
            <w:tcW w:type="dxa" w:w="1365"/>
            <w:tcMar>
              <w:left w:w="12" w:type="dxa"/>
              <w:right w:w="12" w:type="dxa"/>
              <w:top w:w="12" w:type="dxa"/>
            </w:tcMar>
            <w:vAlign w:val="center"/>
            <w:tcBorders>
              <w:left w:val="single" w:color="auto" w:sz="4"/>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金额</w:t>
            </w:r>
          </w:p>
        </w:tc>
        <w:tc>
          <w:tcPr>
            <w:tcW w:type="dxa" w:w="1005"/>
            <w:tcMar>
              <w:left w:w="12" w:type="dxa"/>
              <w:right w:w="12" w:type="dxa"/>
              <w:top w:w="12" w:type="dxa"/>
            </w:tcMar>
            <w:vAlign w:val="center"/>
            <w:tcBorders>
              <w:left w:val="single" w:color="auto" w:sz="4"/>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经济分类</w:t>
            </w:r>
          </w:p>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科目编码</w:t>
            </w:r>
          </w:p>
        </w:tc>
        <w:tc>
          <w:tcPr>
            <w:tcW w:type="dxa" w:w="2190"/>
            <w:tcMar>
              <w:left w:w="12" w:type="dxa"/>
              <w:right w:w="12" w:type="dxa"/>
              <w:top w:w="12" w:type="dxa"/>
            </w:tcMar>
            <w:vAlign w:val="center"/>
            <w:gridSpan w:val="2"/>
            <w:tcBorders>
              <w:left w:val="single" w:color="auto" w:sz="4"/>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科目名称</w:t>
            </w:r>
          </w:p>
        </w:tc>
        <w:tc>
          <w:tcPr>
            <w:tcW w:type="dxa" w:w="1515"/>
            <w:tcMar>
              <w:left w:w="12" w:type="dxa"/>
              <w:right w:w="12" w:type="dxa"/>
              <w:top w:w="12" w:type="dxa"/>
            </w:tcMar>
            <w:vAlign w:val="center"/>
            <w:tcBorders>
              <w:left w:val="single" w:color="auto" w:sz="4"/>
              <w:right w:val="single" w:color="auto" w:sz="8"/>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工资福利支出</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17,930,759.45</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商品和服务支出</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3,910,275.53</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其他资本性支出</w:t>
            </w:r>
          </w:p>
        </w:tc>
        <w:tc>
          <w:tcPr>
            <w:tcW w:type="dxa" w:w="1515"/>
            <w:tcMar>
              <w:left w:w="12" w:type="dxa"/>
              <w:right w:w="12" w:type="dxa"/>
              <w:top w:w="12" w:type="dxa"/>
            </w:tcMar>
            <w:vAlign w:val="bottom"/>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r>
              <w:rPr>
                <w:color w:val="000000"/>
                <w:position w:val="0"/>
                <w:sz w:val="18"/>
                <w:szCs w:val="18"/>
                <w:rFonts w:ascii="宋体" w:eastAsia="Arial" w:hAnsi="Arial" w:hint="default"/>
              </w:rPr>
              <w:t>15710.00</w:t>
            </w: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30101</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基本工资</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4,701,346.00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30201</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办公费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78,431.22</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31001</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房屋建筑物购建</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30102</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津贴补贴</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5,667,385.00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30202</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印刷费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25,132.00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31002</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办公设备购置</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r>
              <w:rPr>
                <w:color w:val="000000"/>
                <w:position w:val="0"/>
                <w:sz w:val="18"/>
                <w:szCs w:val="18"/>
                <w:rFonts w:ascii="宋体" w:eastAsia="Arial" w:hAnsi="Arial" w:hint="default"/>
              </w:rPr>
              <w:t>15710.00</w:t>
            </w: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30103</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奖金</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1,936,968.00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30203</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咨询费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31003</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专用设备购置</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30106</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伙食补助费</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30204</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手续费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31005</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基础设施建设</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30107</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绩效工资</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30205</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水费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1284.07</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31006</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大型修缮</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30108</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机关事业单位基本养老保险缴费</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1,810,998.35</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30206</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电费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140,512.84</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31007</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信息网络及软件购置更新</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30109</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职业年金缴费</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30207</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邮电费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63,967.05</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31008</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物资储备</w:t>
            </w:r>
          </w:p>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30110</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职工基本医疗保险缴费</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588,270.54</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30208</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取暖费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177,802.94</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31009</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土地补偿</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30111</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公务员医疗补助缴费</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468,500.86</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30209</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物业管理费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351,704.00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31010</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安置补助</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30112</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其他社会保障缴费</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30211</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差旅费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551,607.36</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31011</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地上附着物和青苗补偿</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30113</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住房公积金</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1,098,794.00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30212</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因公出国（境）费用</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36,556.80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31012</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拆迁补偿</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30114</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医疗费</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30213</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维修(护)费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84,861.00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31013</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公务用车购置</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30199</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其他工资福利支出</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1,658,496.70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30214</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租赁费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31019</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其他交通工具购置</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对个人和家庭的补助</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4,465,868.08</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30215</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会议费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3500.00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31021</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文物和陈列品购置</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30301</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离休费</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776,429.76</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30216</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培训费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170,981.22</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31022</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无形资产购置</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30302</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退休费</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2,192,100.12</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30217</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公务接待费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19156.00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31099</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其他资本性支出</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30303</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退职（役）费</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30218</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专用材料费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312</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对企事业单位的补贴</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30304</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抚恤金</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1,400,117.00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30224</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被装购置费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31201</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企业政策性补贴</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30305</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生活补助</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63,347.80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30225</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专用燃料费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31203</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事业单位补贴</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30306</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救济费</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30226</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劳务费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156,442.49</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31204</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财政贴息</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30307</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医疗费</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3,760.00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30227</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委托业务费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18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31205</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其他对企事业单位的补贴</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30308</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助学金</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30228</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工会经费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102,200.00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31299</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其他对企业补助</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30309</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奖励金</w:t>
            </w:r>
          </w:p>
        </w:tc>
        <w:tc>
          <w:tcPr>
            <w:tcW w:type="dxa" w:w="1425"/>
            <w:tcMar>
              <w:left w:w="12" w:type="dxa"/>
              <w:right w:w="12" w:type="dxa"/>
              <w:top w:w="12" w:type="dxa"/>
            </w:tcMar>
            <w:vAlign w:val="bottom"/>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24,000.00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30229</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福利费</w:t>
            </w:r>
          </w:p>
        </w:tc>
        <w:tc>
          <w:tcPr>
            <w:tcW w:type="dxa" w:w="1365"/>
            <w:tcMar>
              <w:left w:w="12" w:type="dxa"/>
              <w:right w:w="12" w:type="dxa"/>
              <w:top w:w="12" w:type="dxa"/>
            </w:tcMar>
            <w:vAlign w:val="bottom"/>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313</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对社会保障基金补助</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30310</w:t>
            </w: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生产补贴</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30231</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公务用车运行维护费</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167,193.97</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31302</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对社会保险基金补助</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30310</w:t>
            </w:r>
          </w:p>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个人农业生产补贴</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30239</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其他交通费用</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1,343,864.00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31303</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补充全国社会保障基金</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30399</w:t>
            </w:r>
          </w:p>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对其他个人和家庭的补助支出</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6113.40</w:t>
            </w: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30240</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w:t>
            </w:r>
          </w:p>
          <w:tbl>
            <w:tblID w:val="0"/>
            <w:tblPr>
              <w:tblStyle w:val="PO37"/>
              <w:tblpPr w:leftFromText="180" w:rightFromText="180" w:vertAnchor="text" w:horzAnchor="page" w:tblpX="1407" w:tblpY="-9149"/>
              <w:tblOverlap w:val="never"/>
              <w:tblCellMar>
                <w:left w:w="0" w:type="dxa"/>
                <w:top w:w="0" w:type="dxa"/>
                <w:right w:w="0" w:type="dxa"/>
                <w:bottom w:w="0" w:type="dxa"/>
              </w:tblCellMar>
              <w:tblW w:w="13904" w:type="dxa"/>
              <w:tblLook w:val="000000" w:firstRow="0" w:lastRow="0" w:firstColumn="0" w:lastColumn="0" w:noHBand="0" w:noVBand="0"/>
              <w:tblLayout w:type="fixed"/>
            </w:tblPr>
            <w:tblGrid>
              <w:gridCol w:w="13904"/>
            </w:tblGrid>
            <w:tr>
              <w:trPr>
                <w:trHeight w:hRule="exact" w:val="258"/>
                <w:hidden w:val="0"/>
              </w:trPr>
              <w:tc>
                <w:tcPr>
                  <w:tcW w:type="dxa" w:w="13904"/>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税金及附加费用</w:t>
                  </w:r>
                </w:p>
              </w:tc>
            </w:tr>
          </w:tbl>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399</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其他支出</w:t>
            </w:r>
          </w:p>
        </w:tc>
        <w:tc>
          <w:tcPr>
            <w:tcW w:type="dxa" w:w="1515"/>
            <w:tcMar>
              <w:left w:w="12" w:type="dxa"/>
              <w:right w:w="12" w:type="dxa"/>
              <w:top w:w="12" w:type="dxa"/>
            </w:tcMar>
            <w:vAlign w:val="center"/>
            <w:tcBorders>
              <w:bottom w:val="single" w:color="auto" w:sz="4"/>
              <w:left w:val="single" w:color="auto" w:sz="4"/>
              <w:right w:val="single" w:color="auto" w:sz="8"/>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30299</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其他商品和服务支出</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435,078.57</w:t>
            </w: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39906</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赠与</w:t>
            </w:r>
          </w:p>
        </w:tc>
        <w:tc>
          <w:tcPr>
            <w:tcW w:type="dxa" w:w="151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307</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债务利息及费用支出</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39907</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国家赔偿费用支出</w:t>
            </w:r>
          </w:p>
        </w:tc>
        <w:tc>
          <w:tcPr>
            <w:tcW w:type="dxa" w:w="151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30701</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国内债务付息</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180" w:firstLine="0"/>
              <w:rPr>
                <w:color w:val="000000"/>
                <w:position w:val="0"/>
                <w:sz w:val="18"/>
                <w:szCs w:val="18"/>
                <w:rFonts w:ascii="宋体" w:eastAsia="宋体" w:hAnsi="宋体" w:hint="default"/>
              </w:rPr>
              <w:autoSpaceDE w:val="1"/>
              <w:autoSpaceDN w:val="1"/>
            </w:pP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99908</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对民间非营利组织和群众性</w:t>
            </w:r>
            <w:r>
              <w:rPr>
                <w:color w:val="000000"/>
                <w:position w:val="0"/>
                <w:sz w:val="18"/>
                <w:szCs w:val="18"/>
                <w:rFonts w:ascii="宋体" w:eastAsia="宋体" w:hAnsi="宋体" w:hint="default"/>
              </w:rPr>
              <w:t>自治组织补贴</w:t>
            </w:r>
          </w:p>
        </w:tc>
        <w:tc>
          <w:tcPr>
            <w:tcW w:type="dxa" w:w="151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30702</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国外债务付息</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39999</w:t>
            </w: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其他支出</w:t>
            </w:r>
          </w:p>
        </w:tc>
        <w:tc>
          <w:tcPr>
            <w:tcW w:type="dxa" w:w="151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30703</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国内债务发行费用</w:t>
            </w:r>
          </w:p>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720" w:firstLine="0"/>
              <w:rPr>
                <w:color w:val="000000"/>
                <w:position w:val="0"/>
                <w:sz w:val="18"/>
                <w:szCs w:val="18"/>
                <w:rFonts w:ascii="宋体" w:eastAsia="宋体" w:hAnsi="宋体" w:hint="default"/>
              </w:rPr>
              <w:autoSpaceDE w:val="1"/>
              <w:autoSpaceDN w:val="1"/>
            </w:pP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p>
        </w:tc>
        <w:tc>
          <w:tcPr>
            <w:tcW w:type="dxa" w:w="151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888"/>
            <w:tcMar>
              <w:left w:w="12" w:type="dxa"/>
              <w:right w:w="12" w:type="dxa"/>
              <w:top w:w="12" w:type="dxa"/>
            </w:tcMar>
            <w:vAlign w:val="center"/>
            <w:tcBorders>
              <w:bottom w:val="single" w:color="auto" w:sz="4"/>
              <w:left w:val="single" w:color="auto" w:sz="8"/>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74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990"/>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30704</w:t>
            </w:r>
          </w:p>
        </w:tc>
        <w:tc>
          <w:tcPr>
            <w:tcW w:type="dxa" w:w="19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18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国外债务发行费用</w:t>
            </w:r>
          </w:p>
        </w:tc>
        <w:tc>
          <w:tcPr>
            <w:tcW w:type="dxa" w:w="136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180" w:firstLine="0"/>
              <w:rPr>
                <w:color w:val="000000"/>
                <w:position w:val="0"/>
                <w:sz w:val="18"/>
                <w:szCs w:val="18"/>
                <w:rFonts w:ascii="宋体" w:eastAsia="宋体" w:hAnsi="宋体" w:hint="default"/>
              </w:rPr>
              <w:autoSpaceDE w:val="1"/>
              <w:autoSpaceDN w:val="1"/>
            </w:pPr>
          </w:p>
        </w:tc>
        <w:tc>
          <w:tcPr>
            <w:tcW w:type="dxa" w:w="100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2190"/>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p>
        </w:tc>
        <w:tc>
          <w:tcPr>
            <w:tcW w:type="dxa" w:w="151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p>
        </w:tc>
      </w:tr>
      <w:tr>
        <w:trPr>
          <w:trHeight w:hRule="exact" w:val="238"/>
          <w:hidden w:val="0"/>
        </w:trPr>
        <w:tc>
          <w:tcPr>
            <w:tcW w:type="dxa" w:w="3633"/>
            <w:tcMar>
              <w:left w:w="12" w:type="dxa"/>
              <w:right w:w="12" w:type="dxa"/>
              <w:top w:w="12" w:type="dxa"/>
            </w:tcMar>
            <w:vAlign w:val="center"/>
            <w:gridSpan w:val="2"/>
            <w:tcBorders>
              <w:bottom w:val="single" w:color="auto" w:sz="4"/>
              <w:left w:val="single" w:color="auto" w:sz="8"/>
              <w:right w:val="single" w:color="auto" w:sz="4"/>
              <w:top w:val="single" w:color="auto" w:sz="4"/>
            </w:tcBorders>
            <w:shd w:val="clear" w:color="000000"/>
          </w:tcPr>
          <w:p>
            <w:pPr>
              <w:numPr>
                <w:ilvl w:val="0"/>
                <w:numId w:val="0"/>
              </w:numPr>
              <w:jc w:val="both"/>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人员经费合计</w:t>
            </w:r>
          </w:p>
        </w:tc>
        <w:tc>
          <w:tcPr>
            <w:tcW w:type="dxa" w:w="1425"/>
            <w:tcMar>
              <w:left w:w="12" w:type="dxa"/>
              <w:right w:w="12" w:type="dxa"/>
              <w:top w:w="12" w:type="dxa"/>
            </w:tcMar>
            <w:vAlign w:val="center"/>
            <w:gridSpan w:val="2"/>
            <w:tcBorders>
              <w:bottom w:val="single" w:color="auto" w:sz="4"/>
              <w:left w:val="single" w:color="auto" w:sz="4"/>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b w:val="1"/>
                <w:color w:val="000000"/>
                <w:position w:val="0"/>
                <w:sz w:val="18"/>
                <w:szCs w:val="18"/>
                <w:rFonts w:ascii="宋体" w:eastAsia="宋体" w:hAnsi="宋体" w:hint="default"/>
              </w:rPr>
              <w:t xml:space="preserve">  </w:t>
            </w:r>
            <w:r>
              <w:rPr>
                <w:color w:val="000000"/>
                <w:position w:val="0"/>
                <w:sz w:val="18"/>
                <w:szCs w:val="18"/>
                <w:rFonts w:ascii="宋体" w:eastAsia="宋体" w:hAnsi="宋体" w:hint="default"/>
              </w:rPr>
              <w:t>22,396,627.53</w:t>
            </w:r>
          </w:p>
        </w:tc>
        <w:tc>
          <w:tcPr>
            <w:tcW w:type="dxa" w:w="7455"/>
            <w:tcMar>
              <w:left w:w="12" w:type="dxa"/>
              <w:right w:w="12" w:type="dxa"/>
              <w:top w:w="12" w:type="dxa"/>
            </w:tcMar>
            <w:vAlign w:val="bottom"/>
            <w:gridSpan w:val="6"/>
            <w:tcBorders>
              <w:bottom w:val="single" w:color="auto" w:sz="4"/>
              <w:left w:val="single" w:color="auto" w:sz="4"/>
              <w:right w:val="single" w:color="auto" w:sz="4"/>
              <w:top w:val="single" w:color="auto" w:sz="4"/>
            </w:tcBorders>
            <w:shd w:val="clear" w:color="000000"/>
          </w:tcPr>
          <w:p>
            <w:pPr>
              <w:numPr>
                <w:ilvl w:val="0"/>
                <w:numId w:val="0"/>
              </w:numPr>
              <w:jc w:val="left"/>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                         公用经费合计</w:t>
            </w:r>
          </w:p>
        </w:tc>
        <w:tc>
          <w:tcPr>
            <w:tcW w:type="dxa" w:w="1515"/>
            <w:tcMar>
              <w:left w:w="12" w:type="dxa"/>
              <w:right w:w="12" w:type="dxa"/>
              <w:top w:w="12" w:type="dxa"/>
            </w:tcMar>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exact" w:line="180" w:before="0" w:after="160"/>
              <w:ind w:right="0" w:firstLine="0"/>
              <w:rPr>
                <w:color w:val="000000"/>
                <w:position w:val="0"/>
                <w:sz w:val="18"/>
                <w:szCs w:val="18"/>
                <w:rFonts w:ascii="Arial" w:eastAsia="Arial" w:hAnsi="Arial" w:hint="default"/>
              </w:rPr>
              <w:autoSpaceDE w:val="1"/>
              <w:autoSpaceDN w:val="1"/>
            </w:pPr>
            <w:r>
              <w:rPr>
                <w:color w:val="000000"/>
                <w:position w:val="0"/>
                <w:sz w:val="18"/>
                <w:szCs w:val="18"/>
                <w:rFonts w:ascii="宋体" w:eastAsia="Arial" w:hAnsi="Arial" w:hint="default"/>
              </w:rPr>
              <w:t>3,925,985.53</w:t>
            </w:r>
          </w:p>
        </w:tc>
      </w:tr>
      <w:tr>
        <w:trPr>
          <w:trHeight w:hRule="exact" w:val="238"/>
          <w:hidden w:val="0"/>
        </w:trPr>
        <w:tc>
          <w:tcPr>
            <w:tcW w:type="dxa" w:w="3633"/>
            <w:tcMar>
              <w:left w:w="12" w:type="dxa"/>
              <w:right w:w="12" w:type="dxa"/>
              <w:top w:w="12" w:type="dxa"/>
            </w:tcMar>
            <w:vAlign w:val="center"/>
            <w:gridSpan w:val="2"/>
            <w:tcBorders>
              <w:bottom w:val="single" w:color="auto" w:sz="4"/>
              <w:left w:val="single" w:color="auto" w:sz="8"/>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 xml:space="preserve">合       计</w:t>
            </w:r>
          </w:p>
        </w:tc>
        <w:tc>
          <w:tcPr>
            <w:tcW w:type="dxa" w:w="10395"/>
            <w:tcMar>
              <w:left w:w="12" w:type="dxa"/>
              <w:right w:w="12" w:type="dxa"/>
              <w:top w:w="12" w:type="dxa"/>
            </w:tcMar>
            <w:vAlign w:val="center"/>
            <w:gridSpan w:val="9"/>
            <w:tcBorders>
              <w:bottom w:val="single" w:color="auto" w:sz="4"/>
              <w:left w:val="single" w:color="auto" w:sz="4"/>
              <w:right w:val="single" w:color="auto" w:sz="4"/>
              <w:top w:val="single" w:color="auto" w:sz="4"/>
            </w:tcBorders>
            <w:shd w:val="clear" w:color="000000"/>
          </w:tcPr>
          <w:p>
            <w:pPr>
              <w:numPr>
                <w:ilvl w:val="0"/>
                <w:numId w:val="0"/>
              </w:numPr>
              <w:jc w:val="center"/>
              <w:spacing w:lineRule="exact" w:line="180" w:before="0" w:after="16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26,322,613.06</w:t>
            </w:r>
          </w:p>
        </w:tc>
      </w:tr>
    </w:tbl>
    <w:p>
      <w:pPr>
        <w:numPr>
          <w:ilvl w:val="0"/>
          <w:numId w:val="0"/>
        </w:numPr>
        <w:jc w:val="both"/>
        <w:spacing w:lineRule="exact" w:line="400" w:before="0" w:after="160"/>
        <w:ind w:right="0" w:firstLine="0"/>
        <w:rPr>
          <w:color w:val="auto"/>
          <w:position w:val="0"/>
          <w:sz w:val="21"/>
          <w:szCs w:val="21"/>
          <w:rFonts w:ascii="Calibri" w:eastAsia="宋体" w:hAnsi="宋体" w:hint="default"/>
        </w:rPr>
        <w:autoSpaceDE w:val="1"/>
        <w:autoSpaceDN w:val="1"/>
      </w:pPr>
      <w:r>
        <w:rPr>
          <w:color w:val="000000"/>
          <w:position w:val="0"/>
          <w:sz w:val="22"/>
          <w:szCs w:val="22"/>
          <w:rFonts w:ascii="宋体" w:eastAsia="Arial" w:hAnsi="Arial" w:hint="default"/>
        </w:rPr>
        <w:t>注：本表反映部门本年度一般公共预算财政拨款基本支出明细情况，数据取自财决08-1表</w:t>
      </w:r>
    </w:p>
    <w:p>
      <w:pPr>
        <w:numPr>
          <w:ilvl w:val="0"/>
          <w:numId w:val="0"/>
        </w:numPr>
        <w:jc w:val="center"/>
        <w:spacing w:lineRule="exact" w:line="180" w:before="0" w:after="160"/>
        <w:ind w:right="0" w:firstLine="0"/>
        <w:rPr>
          <w:color w:val="auto"/>
          <w:position w:val="0"/>
          <w:sz w:val="21"/>
          <w:szCs w:val="21"/>
          <w:rFonts w:ascii="Calibri" w:eastAsia="宋体" w:hAnsi="宋体" w:hint="default"/>
        </w:rPr>
        <w:autoSpaceDE w:val="1"/>
        <w:autoSpaceDN w:val="1"/>
      </w:pPr>
    </w:p>
    <w:tbl>
      <w:tblID w:val="0"/>
      <w:tblPr>
        <w:tblStyle w:val="PO37"/>
        <w:tblCellMar>
          <w:left w:w="108" w:type="dxa"/>
          <w:top w:w="0" w:type="dxa"/>
          <w:right w:w="108" w:type="dxa"/>
          <w:bottom w:w="0" w:type="dxa"/>
        </w:tblCellMar>
        <w:tblW w:w="14597" w:type="dxa"/>
        <w:jc w:val="center"/>
        <w:tblLook w:val="000000" w:firstRow="0" w:lastRow="0" w:firstColumn="0" w:lastColumn="0" w:noHBand="0" w:noVBand="0"/>
        <w:tblLayout w:type="fixed"/>
      </w:tblPr>
      <w:tblGrid>
        <w:gridCol w:w="1133"/>
        <w:gridCol w:w="267"/>
        <w:gridCol w:w="976"/>
        <w:gridCol w:w="344"/>
        <w:gridCol w:w="343"/>
        <w:gridCol w:w="782"/>
        <w:gridCol w:w="780"/>
        <w:gridCol w:w="1140"/>
        <w:gridCol w:w="1545"/>
        <w:gridCol w:w="963"/>
        <w:gridCol w:w="342"/>
        <w:gridCol w:w="707"/>
        <w:gridCol w:w="658"/>
        <w:gridCol w:w="184"/>
        <w:gridCol w:w="971"/>
        <w:gridCol w:w="825"/>
        <w:gridCol w:w="840"/>
        <w:gridCol w:w="330"/>
        <w:gridCol w:w="1467"/>
      </w:tblGrid>
      <w:tr>
        <w:trPr>
          <w:trHeight w:hRule="atleast" w:val="1215"/>
          <w:hidden w:val="0"/>
        </w:trPr>
        <w:tc>
          <w:tcPr>
            <w:tcW w:type="dxa" w:w="14597"/>
            <w:vAlign w:val="bottom"/>
            <w:gridSpan w:val="19"/>
            <w:tcBorders>
              <w:bottom w:val="nil" w:color="auto"/>
              <w:left w:val="nil" w:color="auto"/>
              <w:right w:val="nil" w:color="auto"/>
              <w:top w:val="nil" w:color="auto"/>
            </w:tcBorders>
            <w:shd w:val="clear" w:color="000000"/>
          </w:tcPr>
          <w:p>
            <w:pPr>
              <w:numPr>
                <w:ilvl w:val="0"/>
                <w:numId w:val="0"/>
              </w:numPr>
              <w:jc w:val="center"/>
              <w:spacing w:lineRule="auto" w:line="240" w:before="0" w:after="0"/>
              <w:ind w:right="0" w:firstLine="0"/>
              <w:rPr>
                <w:color w:val="000000"/>
                <w:position w:val="0"/>
                <w:sz w:val="36"/>
                <w:szCs w:val="36"/>
                <w:rFonts w:ascii="宋体" w:eastAsia="Arial" w:hAnsi="Arial" w:hint="default"/>
              </w:rPr>
              <w:autoSpaceDE w:val="1"/>
              <w:autoSpaceDN w:val="1"/>
            </w:pPr>
            <w:r>
              <w:rPr>
                <w:b w:val="1"/>
                <w:color w:val="000000"/>
                <w:position w:val="0"/>
                <w:sz w:val="36"/>
                <w:szCs w:val="36"/>
                <w:rFonts w:ascii="宋体" w:eastAsia="Arial" w:hAnsi="Arial" w:hint="default"/>
              </w:rPr>
              <w:t>一般公共预算财政拨款“三公”经费支出决算表</w:t>
            </w:r>
          </w:p>
        </w:tc>
      </w:tr>
      <w:tr>
        <w:trPr>
          <w:trHeight w:hRule="atleast" w:val="300"/>
          <w:hidden w:val="0"/>
        </w:trPr>
        <w:tc>
          <w:tcPr>
            <w:tcW w:type="dxa" w:w="1133"/>
            <w:vAlign w:val="bottom"/>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243"/>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687"/>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562"/>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140"/>
            <w:vAlign w:val="bottom"/>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545"/>
            <w:vAlign w:val="bottom"/>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963"/>
            <w:vAlign w:val="bottom"/>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049"/>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842"/>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796"/>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170"/>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467"/>
            <w:vAlign w:val="bottom"/>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公开07表</w:t>
            </w:r>
          </w:p>
        </w:tc>
      </w:tr>
      <w:tr>
        <w:trPr>
          <w:trHeight w:hRule="atleast" w:val="300"/>
          <w:hidden w:val="0"/>
        </w:trPr>
        <w:tc>
          <w:tcPr>
            <w:tcW w:type="dxa" w:w="5765"/>
            <w:vAlign w:val="bottom"/>
            <w:gridSpan w:val="8"/>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公开部门：</w:t>
            </w:r>
            <w:r>
              <w:rPr>
                <w:color w:val="000000"/>
                <w:position w:val="0"/>
                <w:sz w:val="21"/>
                <w:szCs w:val="21"/>
                <w:rFonts w:ascii="Arial" w:eastAsia="Arial" w:hAnsi="Arial" w:hint="default"/>
              </w:rPr>
              <w:t>宁夏回族自治区商务厅本级</w:t>
            </w:r>
          </w:p>
        </w:tc>
        <w:tc>
          <w:tcPr>
            <w:tcW w:type="dxa" w:w="1545"/>
            <w:vAlign w:val="bottom"/>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963"/>
            <w:vAlign w:val="bottom"/>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049"/>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842"/>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796"/>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170"/>
            <w:vAlign w:val="bottom"/>
            <w:gridSpan w:val="2"/>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p>
        </w:tc>
        <w:tc>
          <w:tcPr>
            <w:tcW w:type="dxa" w:w="1467"/>
            <w:vAlign w:val="bottom"/>
            <w:tcBorders>
              <w:bottom w:val="nil" w:color="auto"/>
              <w:left w:val="nil" w:color="auto"/>
              <w:right w:val="nil" w:color="auto"/>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金额单位：元</w:t>
            </w:r>
          </w:p>
        </w:tc>
      </w:tr>
      <w:tr>
        <w:trPr>
          <w:trHeight w:hRule="atleast" w:val="510"/>
          <w:hidden w:val="0"/>
        </w:trPr>
        <w:tc>
          <w:tcPr>
            <w:tcW w:type="dxa" w:w="7310"/>
            <w:vAlign w:val="center"/>
            <w:gridSpan w:val="9"/>
            <w:tcBorders>
              <w:bottom w:val="single" w:color="auto" w:sz="4"/>
              <w:left w:val="single" w:color="auto" w:sz="4"/>
              <w:right w:val="single" w:color="auto" w:sz="4"/>
              <w:top w:val="single" w:color="auto" w:sz="4"/>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2018年度预算数</w:t>
            </w:r>
          </w:p>
        </w:tc>
        <w:tc>
          <w:tcPr>
            <w:tcW w:type="dxa" w:w="7287"/>
            <w:vAlign w:val="center"/>
            <w:gridSpan w:val="10"/>
            <w:tcBorders>
              <w:bottom w:val="single" w:color="auto" w:sz="4"/>
              <w:left w:val="nil" w:color="auto"/>
              <w:right w:val="single" w:color="auto" w:sz="4"/>
              <w:top w:val="single" w:color="auto" w:sz="4"/>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2018年度决算数</w:t>
            </w:r>
          </w:p>
        </w:tc>
      </w:tr>
      <w:tr>
        <w:trPr>
          <w:trHeight w:hRule="atleast" w:val="570"/>
          <w:hidden w:val="0"/>
        </w:trPr>
        <w:tc>
          <w:tcPr>
            <w:tcW w:type="dxa" w:w="1400"/>
            <w:vAlign w:val="center"/>
            <w:gridSpan w:val="2"/>
            <w:vMerge w:val="restart"/>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合计</w:t>
            </w:r>
          </w:p>
        </w:tc>
        <w:tc>
          <w:tcPr>
            <w:tcW w:type="dxa" w:w="1320"/>
            <w:vAlign w:val="center"/>
            <w:gridSpan w:val="2"/>
            <w:vMerge w:val="restart"/>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因公出国（</w:t>
            </w:r>
            <w:r>
              <w:rPr>
                <w:color w:val="000000"/>
                <w:position w:val="0"/>
                <w:sz w:val="18"/>
                <w:szCs w:val="18"/>
                <w:rFonts w:ascii="宋体" w:eastAsia="Arial" w:hAnsi="Arial" w:hint="default"/>
              </w:rPr>
              <w:t>境）费</w:t>
            </w:r>
          </w:p>
        </w:tc>
        <w:tc>
          <w:tcPr>
            <w:tcW w:type="dxa" w:w="3045"/>
            <w:vAlign w:val="center"/>
            <w:gridSpan w:val="4"/>
            <w:tcBorders>
              <w:bottom w:val="single" w:color="auto" w:sz="4"/>
              <w:left w:val="nil" w:color="auto"/>
              <w:right w:val="single" w:color="auto" w:sz="4"/>
              <w:top w:val="single" w:color="auto" w:sz="4"/>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公务用车购置及运行费</w:t>
            </w:r>
          </w:p>
        </w:tc>
        <w:tc>
          <w:tcPr>
            <w:tcW w:type="dxa" w:w="1545"/>
            <w:vAlign w:val="center"/>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公务接待费</w:t>
            </w:r>
          </w:p>
        </w:tc>
        <w:tc>
          <w:tcPr>
            <w:tcW w:type="dxa" w:w="1305"/>
            <w:vAlign w:val="center"/>
            <w:gridSpan w:val="2"/>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合计</w:t>
            </w:r>
          </w:p>
        </w:tc>
        <w:tc>
          <w:tcPr>
            <w:tcW w:type="dxa" w:w="1365"/>
            <w:vAlign w:val="center"/>
            <w:gridSpan w:val="2"/>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因公出国（</w:t>
            </w:r>
            <w:r>
              <w:rPr>
                <w:color w:val="000000"/>
                <w:position w:val="0"/>
                <w:sz w:val="18"/>
                <w:szCs w:val="18"/>
                <w:rFonts w:ascii="宋体" w:eastAsia="Arial" w:hAnsi="Arial" w:hint="default"/>
              </w:rPr>
              <w:t>境）费</w:t>
            </w:r>
          </w:p>
        </w:tc>
        <w:tc>
          <w:tcPr>
            <w:tcW w:type="dxa" w:w="3150"/>
            <w:vAlign w:val="center"/>
            <w:gridSpan w:val="5"/>
            <w:tcBorders>
              <w:bottom w:val="single" w:color="auto" w:sz="4"/>
              <w:left w:val="nil" w:color="auto"/>
              <w:right w:val="single" w:color="auto" w:sz="4"/>
              <w:top w:val="single" w:color="auto" w:sz="4"/>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公务用车购置及运行费</w:t>
            </w:r>
          </w:p>
        </w:tc>
        <w:tc>
          <w:tcPr>
            <w:tcW w:type="dxa" w:w="1467"/>
            <w:vAlign w:val="center"/>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公务接待费</w:t>
            </w:r>
          </w:p>
        </w:tc>
      </w:tr>
      <w:tr>
        <w:trPr>
          <w:trHeight w:hRule="atleast" w:val="570"/>
          <w:hidden w:val="0"/>
        </w:trPr>
        <w:tc>
          <w:tcPr>
            <w:tcW w:type="dxa" w:w="1400"/>
            <w:vAlign w:val="center"/>
            <w:gridSpan w:val="2"/>
            <w:vMerge/>
            <w:tcBorders>
              <w:bottom w:val="single" w:color="auto" w:sz="4"/>
              <w:left w:val="single" w:color="auto" w:sz="4"/>
              <w:right w:val="single" w:color="auto" w:sz="4"/>
              <w:top w:val="nil" w:color="auto"/>
            </w:tcBorders>
            <w:shd w:val="clear" w:color="000000"/>
          </w:tcPr>
          <w:p/>
        </w:tc>
        <w:tc>
          <w:tcPr>
            <w:tcW w:type="dxa" w:w="1320"/>
            <w:vAlign w:val="center"/>
            <w:gridSpan w:val="2"/>
            <w:vMerge/>
            <w:tcBorders>
              <w:bottom w:val="single" w:color="auto" w:sz="4"/>
              <w:left w:val="single" w:color="auto" w:sz="4"/>
              <w:right w:val="single" w:color="auto" w:sz="4"/>
              <w:top w:val="nil" w:color="auto"/>
            </w:tcBorders>
            <w:shd w:val="clear" w:color="000000"/>
          </w:tcPr>
          <w:p/>
        </w:tc>
        <w:tc>
          <w:tcPr>
            <w:tcW w:type="dxa" w:w="1125"/>
            <w:vAlign w:val="center"/>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小计</w:t>
            </w:r>
          </w:p>
        </w:tc>
        <w:tc>
          <w:tcPr>
            <w:tcW w:type="dxa" w:w="780"/>
            <w:vAlign w:val="center"/>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公务用</w:t>
            </w:r>
            <w:r>
              <w:rPr>
                <w:color w:val="000000"/>
                <w:position w:val="0"/>
                <w:sz w:val="18"/>
                <w:szCs w:val="18"/>
                <w:rFonts w:ascii="宋体" w:eastAsia="Arial" w:hAnsi="Arial" w:hint="default"/>
              </w:rPr>
              <w:t>车购置</w:t>
            </w:r>
            <w:r>
              <w:rPr>
                <w:color w:val="000000"/>
                <w:position w:val="0"/>
                <w:sz w:val="18"/>
                <w:szCs w:val="18"/>
                <w:rFonts w:ascii="宋体" w:eastAsia="Arial" w:hAnsi="Arial" w:hint="default"/>
              </w:rPr>
              <w:t>费</w:t>
            </w:r>
          </w:p>
        </w:tc>
        <w:tc>
          <w:tcPr>
            <w:tcW w:type="dxa" w:w="1140"/>
            <w:vAlign w:val="center"/>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公务用车运</w:t>
            </w:r>
            <w:r>
              <w:rPr>
                <w:color w:val="000000"/>
                <w:position w:val="0"/>
                <w:sz w:val="18"/>
                <w:szCs w:val="18"/>
                <w:rFonts w:ascii="宋体" w:eastAsia="Arial" w:hAnsi="Arial" w:hint="default"/>
              </w:rPr>
              <w:t>行费</w:t>
            </w:r>
          </w:p>
        </w:tc>
        <w:tc>
          <w:tcPr>
            <w:tcW w:type="dxa" w:w="1545"/>
            <w:vAlign w:val="center"/>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p>
        </w:tc>
        <w:tc>
          <w:tcPr>
            <w:tcW w:type="dxa" w:w="1305"/>
            <w:vAlign w:val="center"/>
            <w:gridSpan w:val="2"/>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p>
        </w:tc>
        <w:tc>
          <w:tcPr>
            <w:tcW w:type="dxa" w:w="1365"/>
            <w:vAlign w:val="center"/>
            <w:gridSpan w:val="2"/>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p>
        </w:tc>
        <w:tc>
          <w:tcPr>
            <w:tcW w:type="dxa" w:w="1155"/>
            <w:vAlign w:val="center"/>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小计</w:t>
            </w:r>
          </w:p>
        </w:tc>
        <w:tc>
          <w:tcPr>
            <w:tcW w:type="dxa" w:w="825"/>
            <w:vAlign w:val="center"/>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公务用</w:t>
            </w:r>
            <w:r>
              <w:rPr>
                <w:color w:val="000000"/>
                <w:position w:val="0"/>
                <w:sz w:val="18"/>
                <w:szCs w:val="18"/>
                <w:rFonts w:ascii="宋体" w:eastAsia="Arial" w:hAnsi="Arial" w:hint="default"/>
              </w:rPr>
              <w:t>车购置</w:t>
            </w:r>
            <w:r>
              <w:rPr>
                <w:color w:val="000000"/>
                <w:position w:val="0"/>
                <w:sz w:val="18"/>
                <w:szCs w:val="18"/>
                <w:rFonts w:ascii="宋体" w:eastAsia="Arial" w:hAnsi="Arial" w:hint="default"/>
              </w:rPr>
              <w:t>费</w:t>
            </w:r>
          </w:p>
        </w:tc>
        <w:tc>
          <w:tcPr>
            <w:tcW w:type="dxa" w:w="1170"/>
            <w:vAlign w:val="center"/>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公务用车运</w:t>
            </w:r>
            <w:r>
              <w:rPr>
                <w:color w:val="000000"/>
                <w:position w:val="0"/>
                <w:sz w:val="18"/>
                <w:szCs w:val="18"/>
                <w:rFonts w:ascii="宋体" w:eastAsia="Arial" w:hAnsi="Arial" w:hint="default"/>
              </w:rPr>
              <w:t>行费</w:t>
            </w:r>
          </w:p>
        </w:tc>
        <w:tc>
          <w:tcPr>
            <w:tcW w:type="dxa" w:w="1467"/>
            <w:vAlign w:val="center"/>
            <w:tcBorders>
              <w:bottom w:val="single" w:color="auto" w:sz="4"/>
              <w:left w:val="single" w:color="auto" w:sz="4"/>
              <w:right w:val="single" w:color="auto" w:sz="4"/>
              <w:top w:val="nil" w:color="auto"/>
            </w:tcBorders>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p>
        </w:tc>
      </w:tr>
      <w:tr>
        <w:trPr>
          <w:trHeight w:hRule="atleast" w:val="615"/>
          <w:hidden w:val="0"/>
        </w:trPr>
        <w:tc>
          <w:tcPr>
            <w:tcW w:type="dxa" w:w="1400"/>
            <w:vAlign w:val="center"/>
            <w:gridSpan w:val="2"/>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w:t>
            </w:r>
          </w:p>
        </w:tc>
        <w:tc>
          <w:tcPr>
            <w:tcW w:type="dxa" w:w="1320"/>
            <w:vAlign w:val="center"/>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2</w:t>
            </w:r>
          </w:p>
        </w:tc>
        <w:tc>
          <w:tcPr>
            <w:tcW w:type="dxa" w:w="1125"/>
            <w:vAlign w:val="center"/>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3</w:t>
            </w:r>
          </w:p>
        </w:tc>
        <w:tc>
          <w:tcPr>
            <w:tcW w:type="dxa" w:w="780"/>
            <w:vAlign w:val="center"/>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4</w:t>
            </w:r>
          </w:p>
        </w:tc>
        <w:tc>
          <w:tcPr>
            <w:tcW w:type="dxa" w:w="1140"/>
            <w:vAlign w:val="center"/>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5</w:t>
            </w:r>
          </w:p>
        </w:tc>
        <w:tc>
          <w:tcPr>
            <w:tcW w:type="dxa" w:w="1545"/>
            <w:vAlign w:val="center"/>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6</w:t>
            </w:r>
          </w:p>
        </w:tc>
        <w:tc>
          <w:tcPr>
            <w:tcW w:type="dxa" w:w="1305"/>
            <w:vAlign w:val="center"/>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7</w:t>
            </w:r>
          </w:p>
        </w:tc>
        <w:tc>
          <w:tcPr>
            <w:tcW w:type="dxa" w:w="1365"/>
            <w:vAlign w:val="center"/>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8</w:t>
            </w:r>
          </w:p>
        </w:tc>
        <w:tc>
          <w:tcPr>
            <w:tcW w:type="dxa" w:w="1155"/>
            <w:vAlign w:val="center"/>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9</w:t>
            </w:r>
          </w:p>
        </w:tc>
        <w:tc>
          <w:tcPr>
            <w:tcW w:type="dxa" w:w="825"/>
            <w:vAlign w:val="center"/>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10</w:t>
            </w:r>
          </w:p>
        </w:tc>
        <w:tc>
          <w:tcPr>
            <w:tcW w:type="dxa" w:w="1170"/>
            <w:vAlign w:val="center"/>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11</w:t>
            </w:r>
          </w:p>
        </w:tc>
        <w:tc>
          <w:tcPr>
            <w:tcW w:type="dxa" w:w="1467"/>
            <w:vAlign w:val="center"/>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12</w:t>
            </w:r>
          </w:p>
        </w:tc>
      </w:tr>
      <w:tr>
        <w:trPr>
          <w:trHeight w:hRule="atleast" w:val="975"/>
          <w:hidden w:val="0"/>
        </w:trPr>
        <w:tc>
          <w:tcPr>
            <w:tcW w:type="dxa" w:w="1400"/>
            <w:vAlign w:val="bottom"/>
            <w:gridSpan w:val="2"/>
            <w:tcBorders>
              <w:bottom w:val="single" w:color="auto" w:sz="4"/>
              <w:left w:val="single" w:color="auto" w:sz="4"/>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2,233,000.00</w:t>
            </w:r>
          </w:p>
        </w:tc>
        <w:tc>
          <w:tcPr>
            <w:tcW w:type="dxa" w:w="1320"/>
            <w:vAlign w:val="bottom"/>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2,040,000.00</w:t>
            </w:r>
          </w:p>
        </w:tc>
        <w:tc>
          <w:tcPr>
            <w:tcW w:type="dxa" w:w="1125"/>
            <w:vAlign w:val="bottom"/>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193,000.00</w:t>
            </w:r>
          </w:p>
        </w:tc>
        <w:tc>
          <w:tcPr>
            <w:tcW w:type="dxa" w:w="780"/>
            <w:vAlign w:val="bottom"/>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40"/>
            <w:vAlign w:val="bottom"/>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160,000.00</w:t>
            </w:r>
          </w:p>
        </w:tc>
        <w:tc>
          <w:tcPr>
            <w:tcW w:type="dxa" w:w="1545"/>
            <w:vAlign w:val="bottom"/>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33,000.00</w:t>
            </w:r>
          </w:p>
        </w:tc>
        <w:tc>
          <w:tcPr>
            <w:tcW w:type="dxa" w:w="1305"/>
            <w:vAlign w:val="bottom"/>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2,134,916.45</w:t>
            </w:r>
          </w:p>
        </w:tc>
        <w:tc>
          <w:tcPr>
            <w:tcW w:type="dxa" w:w="1365"/>
            <w:vAlign w:val="bottom"/>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1,884,448.48</w:t>
            </w:r>
          </w:p>
        </w:tc>
        <w:tc>
          <w:tcPr>
            <w:tcW w:type="dxa" w:w="1155"/>
            <w:vAlign w:val="bottom"/>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167,193.97</w:t>
            </w:r>
          </w:p>
        </w:tc>
        <w:tc>
          <w:tcPr>
            <w:tcW w:type="dxa" w:w="825"/>
            <w:vAlign w:val="bottom"/>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0.00</w:t>
            </w:r>
          </w:p>
        </w:tc>
        <w:tc>
          <w:tcPr>
            <w:tcW w:type="dxa" w:w="1170"/>
            <w:vAlign w:val="bottom"/>
            <w:gridSpan w:val="2"/>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167,193.97</w:t>
            </w:r>
          </w:p>
        </w:tc>
        <w:tc>
          <w:tcPr>
            <w:tcW w:type="dxa" w:w="1467"/>
            <w:vAlign w:val="bottom"/>
            <w:tcBorders>
              <w:bottom w:val="single" w:color="auto" w:sz="4"/>
              <w:left w:val="nil" w:color="auto"/>
              <w:right w:val="single" w:color="auto" w:sz="4"/>
              <w:top w:val="nil" w:color="auto"/>
            </w:tcBorders>
            <w:shd w:val="clear" w:color="000000"/>
          </w:tcPr>
          <w:p>
            <w:pPr>
              <w:numPr>
                <w:ilvl w:val="0"/>
                <w:numId w:val="0"/>
              </w:numPr>
              <w:jc w:val="both"/>
              <w:spacing w:lineRule="auto" w:line="240" w:before="0" w:after="0"/>
              <w:ind w:right="0" w:firstLine="0"/>
              <w:rPr>
                <w:color w:val="000000"/>
                <w:position w:val="0"/>
                <w:sz w:val="18"/>
                <w:szCs w:val="18"/>
                <w:rFonts w:ascii="宋体" w:eastAsia="宋体" w:hAnsi="宋体" w:hint="default"/>
              </w:rPr>
              <w:autoSpaceDE w:val="1"/>
              <w:autoSpaceDN w:val="1"/>
            </w:pPr>
            <w:r>
              <w:rPr>
                <w:color w:val="000000"/>
                <w:position w:val="0"/>
                <w:sz w:val="18"/>
                <w:szCs w:val="18"/>
                <w:rFonts w:ascii="宋体" w:eastAsia="宋体" w:hAnsi="宋体" w:hint="default"/>
              </w:rPr>
              <w:t>83,274.00</w:t>
            </w:r>
          </w:p>
        </w:tc>
      </w:tr>
      <w:tr>
        <w:trPr>
          <w:trHeight w:hRule="atleast" w:val="308"/>
          <w:hidden w:val="0"/>
        </w:trPr>
        <w:tc>
          <w:tcPr>
            <w:tcW w:type="dxa" w:w="14597"/>
            <w:vAlign w:val="bottom"/>
            <w:gridSpan w:val="19"/>
            <w:tcBorders>
              <w:bottom w:val="nil" w:color="auto"/>
              <w:left w:val="nil" w:color="auto"/>
              <w:right w:val="nil" w:color="auto"/>
              <w:top w:val="single" w:color="auto" w:sz="4"/>
            </w:tcBorders>
            <w:shd w:val="clear" w:color="000000"/>
          </w:tcPr>
          <w:p>
            <w:pPr>
              <w:numPr>
                <w:ilvl w:val="0"/>
                <w:numId w:val="0"/>
              </w:numPr>
              <w:jc w:val="both"/>
              <w:spacing w:lineRule="auto" w:line="240" w:before="0" w:after="0"/>
              <w:ind w:right="0" w:firstLine="0"/>
              <w:rPr>
                <w:color w:val="000000"/>
                <w:position w:val="0"/>
                <w:sz w:val="18"/>
                <w:szCs w:val="18"/>
                <w:rFonts w:ascii="宋体" w:eastAsia="Arial" w:hAnsi="Arial" w:hint="default"/>
              </w:rPr>
              <w:autoSpaceDE w:val="1"/>
              <w:autoSpaceDN w:val="1"/>
            </w:pPr>
            <w:r>
              <w:rPr>
                <w:color w:val="000000"/>
                <w:position w:val="0"/>
                <w:sz w:val="18"/>
                <w:szCs w:val="18"/>
                <w:rFonts w:ascii="宋体" w:eastAsia="Arial" w:hAnsi="Arial" w:hint="default"/>
              </w:rPr>
              <w:t>注：2018年度预算数为“三公”经费年初预算数，决算数是包括当年财政拨款预算和以前年度结转结余资金安排的实际支出，数据取自CS05表。</w:t>
            </w:r>
          </w:p>
        </w:tc>
      </w:tr>
      <w:tr>
        <w:trPr>
          <w:gridAfter w:val="2"/>
          <w:wAfter w:w="1797"/>
          <w:trHeight w:hRule="atleast" w:val="615"/>
          <w:hidden w:val="0"/>
        </w:trPr>
        <w:tc>
          <w:tcPr>
            <w:tcW w:type="dxa" w:w="12800"/>
            <w:vAlign w:val="center"/>
            <w:gridSpan w:val="17"/>
            <w:tcBorders>
              <w:bottom w:val="nil" w:color="auto"/>
              <w:left w:val="nil" w:color="auto"/>
              <w:right w:val="nil" w:color="auto"/>
              <w:top w:val="single" w:color="auto" w:sz="4"/>
            </w:tcBorders>
            <w:shd w:val="clear" w:color="000000"/>
          </w:tcPr>
          <w:p>
            <w:pPr>
              <w:numPr>
                <w:ilvl w:val="0"/>
                <w:numId w:val="0"/>
              </w:numPr>
              <w:jc w:val="both"/>
              <w:spacing w:lineRule="auto" w:line="240" w:before="0" w:after="0"/>
              <w:ind w:right="0" w:firstLine="0"/>
              <w:rPr>
                <w:color w:val="000000"/>
                <w:position w:val="0"/>
                <w:sz w:val="22"/>
                <w:szCs w:val="22"/>
                <w:rFonts w:ascii="宋体" w:eastAsia="Arial" w:hAnsi="Arial" w:hint="default"/>
              </w:rPr>
              <w:autoSpaceDE w:val="1"/>
              <w:autoSpaceDN w:val="1"/>
            </w:pPr>
          </w:p>
        </w:tc>
      </w:tr>
    </w:tbl>
    <w:p>
      <w:pPr>
        <w:numPr>
          <w:ilvl w:val="0"/>
          <w:numId w:val="0"/>
        </w:numPr>
        <w:jc w:val="center"/>
        <w:spacing w:lineRule="auto" w:line="240" w:before="0" w:after="0"/>
        <w:ind w:right="0" w:firstLine="0"/>
        <w:rPr>
          <w:color w:val="auto"/>
          <w:position w:val="0"/>
          <w:sz w:val="20"/>
          <w:szCs w:val="20"/>
          <w:rFonts w:ascii="宋体" w:eastAsia="宋体" w:hAnsi="宋体" w:hint="default"/>
        </w:rPr>
        <w:wordWrap w:val="off"/>
      </w:pPr>
    </w:p>
    <w:p>
      <w:pPr>
        <w:numPr>
          <w:ilvl w:val="0"/>
          <w:numId w:val="0"/>
        </w:numPr>
        <w:jc w:val="center"/>
        <w:spacing w:lineRule="auto" w:line="240" w:before="0" w:after="0"/>
        <w:ind w:right="0" w:firstLine="0"/>
        <w:rPr>
          <w:color w:val="auto"/>
          <w:position w:val="0"/>
          <w:sz w:val="20"/>
          <w:szCs w:val="20"/>
          <w:rFonts w:ascii="宋体" w:eastAsia="宋体" w:hAnsi="宋体" w:hint="default"/>
        </w:rPr>
        <w:wordWrap w:val="off"/>
      </w:pPr>
    </w:p>
    <w:p>
      <w:pPr>
        <w:numPr>
          <w:ilvl w:val="0"/>
          <w:numId w:val="0"/>
        </w:numPr>
        <w:jc w:val="center"/>
        <w:spacing w:lineRule="auto" w:line="240" w:before="0" w:after="0"/>
        <w:ind w:right="0" w:firstLine="0"/>
        <w:rPr>
          <w:color w:val="auto"/>
          <w:position w:val="0"/>
          <w:sz w:val="20"/>
          <w:szCs w:val="20"/>
          <w:rFonts w:ascii="宋体" w:eastAsia="宋体" w:hAnsi="宋体" w:hint="default"/>
        </w:rPr>
        <w:wordWrap w:val="off"/>
      </w:pPr>
    </w:p>
    <w:p>
      <w:pPr>
        <w:numPr>
          <w:ilvl w:val="0"/>
          <w:numId w:val="0"/>
        </w:numPr>
        <w:jc w:val="center"/>
        <w:spacing w:lineRule="auto" w:line="240" w:before="0" w:after="0"/>
        <w:ind w:right="0" w:firstLine="0"/>
        <w:rPr>
          <w:color w:val="auto"/>
          <w:position w:val="0"/>
          <w:sz w:val="20"/>
          <w:szCs w:val="20"/>
          <w:rFonts w:ascii="宋体" w:eastAsia="宋体" w:hAnsi="宋体" w:hint="default"/>
        </w:rPr>
        <w:wordWrap w:val="off"/>
      </w:pPr>
    </w:p>
    <w:p>
      <w:pPr>
        <w:numPr>
          <w:ilvl w:val="0"/>
          <w:numId w:val="0"/>
        </w:numPr>
        <w:jc w:val="center"/>
        <w:spacing w:lineRule="auto" w:line="240" w:before="0" w:after="0"/>
        <w:ind w:right="0" w:firstLine="0"/>
        <w:rPr>
          <w:color w:val="auto"/>
          <w:position w:val="0"/>
          <w:sz w:val="20"/>
          <w:szCs w:val="20"/>
          <w:rFonts w:ascii="宋体" w:eastAsia="宋体" w:hAnsi="宋体" w:hint="default"/>
        </w:rPr>
        <w:wordWrap w:val="off"/>
      </w:pPr>
    </w:p>
    <w:p>
      <w:pPr>
        <w:numPr>
          <w:ilvl w:val="0"/>
          <w:numId w:val="0"/>
        </w:numPr>
        <w:jc w:val="left"/>
        <w:spacing w:lineRule="auto" w:line="240" w:before="0" w:after="0"/>
        <w:ind w:right="0" w:firstLine="0"/>
        <w:rPr>
          <w:color w:val="auto"/>
          <w:position w:val="0"/>
          <w:sz w:val="21"/>
          <w:szCs w:val="21"/>
          <w:rFonts w:ascii="Calibri" w:eastAsia="宋体" w:hAnsi="宋体" w:hint="default"/>
        </w:rPr>
        <w:wordWrap w:val="off"/>
      </w:pPr>
    </w:p>
    <w:p>
      <w:pPr>
        <w:numPr>
          <w:ilvl w:val="0"/>
          <w:numId w:val="0"/>
        </w:numPr>
        <w:jc w:val="left"/>
        <w:spacing w:lineRule="auto" w:line="240" w:before="0" w:after="0"/>
        <w:ind w:right="0" w:firstLine="0"/>
        <w:rPr>
          <w:color w:val="auto"/>
          <w:position w:val="0"/>
          <w:sz w:val="21"/>
          <w:szCs w:val="21"/>
          <w:rFonts w:ascii="Calibri" w:eastAsia="宋体" w:hAnsi="宋体" w:hint="default"/>
        </w:rPr>
        <w:wordWrap w:val="off"/>
      </w:pPr>
    </w:p>
    <w:p>
      <w:pPr>
        <w:numPr>
          <w:ilvl w:val="0"/>
          <w:numId w:val="0"/>
        </w:numPr>
        <w:jc w:val="left"/>
        <w:spacing w:lineRule="auto" w:line="240" w:before="0" w:after="0"/>
        <w:ind w:right="0" w:firstLine="0"/>
        <w:rPr>
          <w:color w:val="auto"/>
          <w:position w:val="0"/>
          <w:sz w:val="21"/>
          <w:szCs w:val="21"/>
          <w:rFonts w:ascii="Calibri" w:eastAsia="宋体" w:hAnsi="宋体" w:hint="default"/>
        </w:rPr>
        <w:wordWrap w:val="off"/>
      </w:pPr>
    </w:p>
    <w:p>
      <w:pPr>
        <w:numPr>
          <w:ilvl w:val="0"/>
          <w:numId w:val="0"/>
        </w:numPr>
        <w:jc w:val="left"/>
        <w:spacing w:lineRule="auto" w:line="240" w:before="0" w:after="0"/>
        <w:ind w:right="0" w:firstLine="0"/>
        <w:rPr>
          <w:color w:val="auto"/>
          <w:position w:val="0"/>
          <w:sz w:val="21"/>
          <w:szCs w:val="21"/>
          <w:rFonts w:ascii="Calibri" w:eastAsia="宋体" w:hAnsi="宋体" w:hint="default"/>
        </w:rPr>
        <w:wordWrap w:val="off"/>
      </w:pPr>
    </w:p>
    <w:p>
      <w:pPr>
        <w:numPr>
          <w:ilvl w:val="0"/>
          <w:numId w:val="0"/>
        </w:numPr>
        <w:jc w:val="left"/>
        <w:spacing w:lineRule="auto" w:line="240" w:before="0" w:after="0"/>
        <w:ind w:right="0" w:firstLine="0"/>
        <w:rPr>
          <w:color w:val="auto"/>
          <w:position w:val="0"/>
          <w:sz w:val="21"/>
          <w:szCs w:val="21"/>
          <w:rFonts w:ascii="Calibri" w:eastAsia="宋体" w:hAnsi="宋体" w:hint="default"/>
        </w:rPr>
        <w:wordWrap w:val="off"/>
      </w:pPr>
    </w:p>
    <w:p>
      <w:pPr>
        <w:numPr>
          <w:ilvl w:val="0"/>
          <w:numId w:val="0"/>
        </w:numPr>
        <w:jc w:val="left"/>
        <w:spacing w:lineRule="auto" w:line="240" w:before="0" w:after="0"/>
        <w:ind w:right="0" w:firstLine="0"/>
        <w:rPr>
          <w:color w:val="auto"/>
          <w:position w:val="0"/>
          <w:sz w:val="21"/>
          <w:szCs w:val="21"/>
          <w:rFonts w:ascii="Calibri" w:eastAsia="宋体" w:hAnsi="宋体" w:hint="default"/>
        </w:rPr>
        <w:wordWrap w:val="off"/>
      </w:pPr>
    </w:p>
    <w:p>
      <w:pPr>
        <w:numPr>
          <w:ilvl w:val="0"/>
          <w:numId w:val="0"/>
        </w:numPr>
        <w:jc w:val="left"/>
        <w:spacing w:lineRule="auto" w:line="240" w:before="0" w:after="0"/>
        <w:ind w:right="0" w:firstLine="0"/>
        <w:rPr>
          <w:color w:val="auto"/>
          <w:position w:val="0"/>
          <w:sz w:val="21"/>
          <w:szCs w:val="21"/>
          <w:rFonts w:ascii="Calibri" w:eastAsia="宋体" w:hAnsi="宋体" w:hint="default"/>
        </w:rPr>
        <w:wordWrap w:val="off"/>
      </w:pPr>
    </w:p>
    <w:tbl>
      <w:tblID w:val="0"/>
      <w:tblPr>
        <w:tblStyle w:val="PO37"/>
        <w:tblpPr w:leftFromText="180" w:rightFromText="180" w:vertAnchor="text" w:horzAnchor="page" w:tblpX="1193" w:tblpY="576"/>
        <w:tblOverlap w:val="never"/>
        <w:tblW w:w="14619" w:type="dxa"/>
        <w:tblLook w:val="000000" w:firstRow="0" w:lastRow="0" w:firstColumn="0" w:lastColumn="0" w:noHBand="0" w:noVBand="0"/>
      </w:tblPr>
      <w:tblGrid>
        <w:gridCol w:w="634"/>
        <w:gridCol w:w="420"/>
        <w:gridCol w:w="585"/>
        <w:gridCol w:w="1695"/>
        <w:gridCol w:w="1815"/>
        <w:gridCol w:w="1725"/>
        <w:gridCol w:w="1425"/>
        <w:gridCol w:w="1710"/>
        <w:gridCol w:w="1920"/>
        <w:gridCol w:w="2690"/>
      </w:tblGrid>
      <w:tr>
        <w:trPr>
          <w:trHeight w:hRule="atleast" w:val="642"/>
          <w:hidden w:val="0"/>
        </w:trPr>
        <w:tc>
          <w:tcPr>
            <w:tcW w:type="dxa" w:w="14619"/>
            <w:vAlign w:val="bottom"/>
            <w:gridSpan w:val="10"/>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36"/>
                <w:szCs w:val="36"/>
                <w:rFonts w:ascii="宋体" w:eastAsia="Arial" w:hAnsi="Arial" w:hint="default"/>
              </w:rPr>
              <w:wordWrap w:val="off"/>
            </w:pPr>
            <w:r>
              <w:rPr>
                <w:b w:val="1"/>
                <w:shadow w:val="0"/>
                <w:color w:val="000000"/>
                <w:position w:val="0"/>
                <w:sz w:val="36"/>
                <w:szCs w:val="36"/>
                <w:rFonts w:ascii="宋体" w:eastAsia="Arial" w:hAnsi="Arial" w:hint="default"/>
              </w:rPr>
              <w:t>政府性基金预算财政拨款收入支出决算表</w:t>
            </w:r>
          </w:p>
        </w:tc>
      </w:tr>
      <w:tr>
        <w:trPr>
          <w:trHeight w:hRule="atleast" w:val="375"/>
          <w:hidden w:val="0"/>
        </w:trPr>
        <w:tc>
          <w:tcPr>
            <w:tcW w:type="dxa" w:w="634"/>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21"/>
                <w:szCs w:val="21"/>
                <w:rFonts w:ascii="Arial" w:eastAsia="Arial" w:hAnsi="Arial" w:hint="default"/>
              </w:rPr>
              <w:wordWrap w:val="off"/>
            </w:pPr>
          </w:p>
        </w:tc>
        <w:tc>
          <w:tcPr>
            <w:tcW w:type="dxa" w:w="420"/>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21"/>
                <w:szCs w:val="21"/>
                <w:rFonts w:ascii="Arial" w:eastAsia="Arial" w:hAnsi="Arial" w:hint="default"/>
              </w:rPr>
              <w:wordWrap w:val="off"/>
            </w:pPr>
          </w:p>
        </w:tc>
        <w:tc>
          <w:tcPr>
            <w:tcW w:type="dxa" w:w="585"/>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21"/>
                <w:szCs w:val="21"/>
                <w:rFonts w:ascii="Arial" w:eastAsia="Arial" w:hAnsi="Arial" w:hint="default"/>
              </w:rPr>
              <w:wordWrap w:val="off"/>
            </w:pPr>
          </w:p>
        </w:tc>
        <w:tc>
          <w:tcPr>
            <w:tcW w:type="dxa" w:w="1695"/>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21"/>
                <w:szCs w:val="21"/>
                <w:rFonts w:ascii="Arial" w:eastAsia="Arial" w:hAnsi="Arial" w:hint="default"/>
              </w:rPr>
              <w:wordWrap w:val="off"/>
            </w:pPr>
          </w:p>
        </w:tc>
        <w:tc>
          <w:tcPr>
            <w:tcW w:type="dxa" w:w="1815"/>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21"/>
                <w:szCs w:val="21"/>
                <w:rFonts w:ascii="Arial" w:eastAsia="Arial" w:hAnsi="Arial" w:hint="default"/>
              </w:rPr>
              <w:wordWrap w:val="off"/>
            </w:pPr>
          </w:p>
        </w:tc>
        <w:tc>
          <w:tcPr>
            <w:tcW w:type="dxa" w:w="1725"/>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21"/>
                <w:szCs w:val="21"/>
                <w:rFonts w:ascii="Arial" w:eastAsia="Arial" w:hAnsi="Arial" w:hint="default"/>
              </w:rPr>
              <w:wordWrap w:val="off"/>
            </w:pPr>
          </w:p>
        </w:tc>
        <w:tc>
          <w:tcPr>
            <w:tcW w:type="dxa" w:w="1425"/>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21"/>
                <w:szCs w:val="21"/>
                <w:rFonts w:ascii="Arial" w:eastAsia="Arial" w:hAnsi="Arial" w:hint="default"/>
              </w:rPr>
              <w:wordWrap w:val="off"/>
            </w:pPr>
          </w:p>
        </w:tc>
        <w:tc>
          <w:tcPr>
            <w:tcW w:type="dxa" w:w="1710"/>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21"/>
                <w:szCs w:val="21"/>
                <w:rFonts w:ascii="Arial" w:eastAsia="Arial" w:hAnsi="Arial" w:hint="default"/>
              </w:rPr>
              <w:wordWrap w:val="off"/>
            </w:pPr>
          </w:p>
        </w:tc>
        <w:tc>
          <w:tcPr>
            <w:tcW w:type="dxa" w:w="1920"/>
            <w:vAlign w:val="bottom"/>
            <w:tcBorders>
              <w:bottom w:val="nil" w:color="auto"/>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21"/>
                <w:szCs w:val="21"/>
                <w:rFonts w:ascii="Arial" w:eastAsia="Arial" w:hAnsi="Arial" w:hint="default"/>
              </w:rPr>
              <w:wordWrap w:val="off"/>
            </w:pPr>
          </w:p>
        </w:tc>
        <w:tc>
          <w:tcPr>
            <w:tcW w:type="dxa" w:w="2690"/>
            <w:vAlign w:val="bottom"/>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shadow w:val="0"/>
                <w:color w:val="000000"/>
                <w:position w:val="0"/>
                <w:sz w:val="21"/>
                <w:szCs w:val="21"/>
                <w:rFonts w:ascii="宋体" w:eastAsia="Arial" w:hAnsi="Arial" w:hint="default"/>
              </w:rPr>
              <w:wordWrap w:val="off"/>
            </w:pPr>
            <w:r>
              <w:rPr>
                <w:shadow w:val="0"/>
                <w:color w:val="000000"/>
                <w:position w:val="0"/>
                <w:sz w:val="21"/>
                <w:szCs w:val="21"/>
                <w:rFonts w:ascii="宋体" w:eastAsia="Arial" w:hAnsi="Arial" w:hint="default"/>
              </w:rPr>
              <w:t xml:space="preserve">        公开08表</w:t>
            </w:r>
          </w:p>
        </w:tc>
      </w:tr>
      <w:tr>
        <w:trPr>
          <w:trHeight w:hRule="atleast" w:val="300"/>
          <w:hidden w:val="0"/>
        </w:trPr>
        <w:tc>
          <w:tcPr>
            <w:tcW w:type="dxa" w:w="3334"/>
            <w:vAlign w:val="bottom"/>
            <w:gridSpan w:val="4"/>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shadow w:val="0"/>
                <w:color w:val="000000"/>
                <w:position w:val="0"/>
                <w:sz w:val="21"/>
                <w:szCs w:val="21"/>
                <w:rFonts w:ascii="宋体" w:eastAsia="Arial" w:hAnsi="Arial" w:hint="default"/>
              </w:rPr>
              <w:wordWrap w:val="off"/>
            </w:pPr>
            <w:r>
              <w:rPr>
                <w:shadow w:val="0"/>
                <w:color w:val="000000"/>
                <w:position w:val="0"/>
                <w:sz w:val="21"/>
                <w:szCs w:val="21"/>
                <w:rFonts w:ascii="宋体" w:eastAsia="Arial" w:hAnsi="Arial" w:hint="default"/>
              </w:rPr>
              <w:t>公开部门：</w:t>
            </w:r>
          </w:p>
        </w:tc>
        <w:tc>
          <w:tcPr>
            <w:tcW w:type="dxa" w:w="1815"/>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shadow w:val="0"/>
                <w:color w:val="000000"/>
                <w:position w:val="0"/>
                <w:sz w:val="21"/>
                <w:szCs w:val="21"/>
                <w:rFonts w:ascii="Arial" w:eastAsia="Arial" w:hAnsi="Arial" w:hint="default"/>
              </w:rPr>
              <w:wordWrap w:val="off"/>
            </w:pPr>
          </w:p>
        </w:tc>
        <w:tc>
          <w:tcPr>
            <w:tcW w:type="dxa" w:w="1725"/>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shadow w:val="0"/>
                <w:color w:val="000000"/>
                <w:position w:val="0"/>
                <w:sz w:val="21"/>
                <w:szCs w:val="21"/>
                <w:rFonts w:ascii="Arial" w:eastAsia="Arial" w:hAnsi="Arial" w:hint="default"/>
              </w:rPr>
              <w:wordWrap w:val="off"/>
            </w:pPr>
          </w:p>
        </w:tc>
        <w:tc>
          <w:tcPr>
            <w:tcW w:type="dxa" w:w="1425"/>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shadow w:val="0"/>
                <w:color w:val="000000"/>
                <w:position w:val="0"/>
                <w:sz w:val="21"/>
                <w:szCs w:val="21"/>
                <w:rFonts w:ascii="Arial" w:eastAsia="Arial" w:hAnsi="Arial" w:hint="default"/>
              </w:rPr>
              <w:wordWrap w:val="off"/>
            </w:pPr>
          </w:p>
        </w:tc>
        <w:tc>
          <w:tcPr>
            <w:tcW w:type="dxa" w:w="171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shadow w:val="0"/>
                <w:color w:val="000000"/>
                <w:position w:val="0"/>
                <w:sz w:val="21"/>
                <w:szCs w:val="21"/>
                <w:rFonts w:ascii="Arial" w:eastAsia="Arial" w:hAnsi="Arial" w:hint="default"/>
              </w:rPr>
              <w:wordWrap w:val="off"/>
            </w:pPr>
          </w:p>
        </w:tc>
        <w:tc>
          <w:tcPr>
            <w:tcW w:type="dxa" w:w="1920"/>
            <w:vAlign w:val="bottom"/>
            <w:tcBorders>
              <w:bottom w:val="nil" w:color="auto"/>
              <w:left w:val="nil" w:color="auto"/>
              <w:right w:val="nil" w:color="auto"/>
              <w:top w:val="nil" w:color="auto"/>
            </w:tcBorders>
            <w:shd w:val="clear" w:color="000000"/>
          </w:tcPr>
          <w:p>
            <w:pPr>
              <w:numPr>
                <w:ilvl w:val="0"/>
                <w:numId w:val="0"/>
              </w:numPr>
              <w:jc w:val="left"/>
              <w:spacing w:lineRule="auto" w:line="240" w:before="0" w:after="160"/>
              <w:ind w:right="0" w:firstLine="0"/>
              <w:rPr>
                <w:shadow w:val="0"/>
                <w:color w:val="000000"/>
                <w:position w:val="0"/>
                <w:sz w:val="21"/>
                <w:szCs w:val="21"/>
                <w:rFonts w:ascii="Arial" w:eastAsia="Arial" w:hAnsi="Arial" w:hint="default"/>
              </w:rPr>
              <w:wordWrap w:val="off"/>
            </w:pPr>
          </w:p>
        </w:tc>
        <w:tc>
          <w:tcPr>
            <w:tcW w:type="dxa" w:w="2690"/>
            <w:vAlign w:val="bottom"/>
            <w:tcBorders>
              <w:bottom w:val="nil" w:color="auto"/>
              <w:left w:val="nil" w:color="auto"/>
              <w:right w:val="nil" w:color="auto"/>
              <w:top w:val="nil" w:color="auto"/>
            </w:tcBorders>
            <w:shd w:val="clear" w:color="000000"/>
          </w:tcPr>
          <w:p>
            <w:pPr>
              <w:numPr>
                <w:ilvl w:val="0"/>
                <w:numId w:val="0"/>
              </w:numPr>
              <w:jc w:val="right"/>
              <w:spacing w:lineRule="auto" w:line="240" w:before="0" w:after="160"/>
              <w:ind w:right="0" w:firstLine="0"/>
              <w:rPr>
                <w:shadow w:val="0"/>
                <w:color w:val="000000"/>
                <w:position w:val="0"/>
                <w:sz w:val="21"/>
                <w:szCs w:val="21"/>
                <w:rFonts w:ascii="宋体" w:eastAsia="Arial" w:hAnsi="Arial" w:hint="default"/>
              </w:rPr>
              <w:wordWrap w:val="off"/>
            </w:pPr>
            <w:r>
              <w:rPr>
                <w:shadow w:val="0"/>
                <w:color w:val="000000"/>
                <w:position w:val="0"/>
                <w:sz w:val="21"/>
                <w:szCs w:val="21"/>
                <w:rFonts w:ascii="宋体" w:eastAsia="Arial" w:hAnsi="Arial" w:hint="default"/>
              </w:rPr>
              <w:t>金额单位：元</w:t>
            </w:r>
          </w:p>
        </w:tc>
      </w:tr>
      <w:tr>
        <w:trPr>
          <w:trHeight w:hRule="atleast" w:val="308"/>
          <w:hidden w:val="0"/>
        </w:trPr>
        <w:tc>
          <w:tcPr>
            <w:tcW w:type="dxa" w:w="3334"/>
            <w:vAlign w:val="center"/>
            <w:gridSpan w:val="4"/>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项目</w:t>
            </w:r>
          </w:p>
        </w:tc>
        <w:tc>
          <w:tcPr>
            <w:tcW w:type="dxa" w:w="1815"/>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年初结转和结余</w:t>
            </w:r>
          </w:p>
        </w:tc>
        <w:tc>
          <w:tcPr>
            <w:tcW w:type="dxa" w:w="1725"/>
            <w:vAlign w:val="center"/>
            <w:tcBorders>
              <w:bottom w:val="single" w:color="000000" w:sz="4"/>
              <w:left w:val="single" w:color="auto" w:sz="4"/>
              <w:right w:val="nil" w:color="auto"/>
              <w:top w:val="single" w:color="auto" w:sz="4"/>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本年收入</w:t>
            </w:r>
          </w:p>
        </w:tc>
        <w:tc>
          <w:tcPr>
            <w:tcW w:type="dxa" w:w="5055"/>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本年支出</w:t>
            </w:r>
          </w:p>
        </w:tc>
        <w:tc>
          <w:tcPr>
            <w:tcW w:type="dxa" w:w="2690"/>
            <w:vAlign w:val="center"/>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年末结转和结余</w:t>
            </w:r>
          </w:p>
        </w:tc>
      </w:tr>
      <w:tr>
        <w:trPr>
          <w:trHeight w:hRule="atleast" w:val="321"/>
          <w:hidden w:val="0"/>
        </w:trPr>
        <w:tc>
          <w:tcPr>
            <w:tcW w:type="dxa" w:w="1639"/>
            <w:vAlign w:val="center"/>
            <w:gridSpan w:val="3"/>
            <w:vMerge w:val="restart"/>
            <w:tcBorders>
              <w:bottom w:val="single" w:color="auto" w:sz="4"/>
              <w:left w:val="single" w:color="auto" w:sz="4"/>
              <w:right w:val="single" w:color="auto" w:sz="4"/>
              <w:top w:val="single" w:color="auto" w:sz="4"/>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功能分类科目编</w:t>
            </w:r>
            <w:r>
              <w:rPr>
                <w:shadow w:val="0"/>
                <w:color w:val="000000"/>
                <w:position w:val="0"/>
                <w:sz w:val="18"/>
                <w:szCs w:val="18"/>
                <w:rFonts w:ascii="宋体" w:eastAsia="Arial" w:hAnsi="Arial" w:hint="default"/>
              </w:rPr>
              <w:t>码</w:t>
            </w:r>
          </w:p>
        </w:tc>
        <w:tc>
          <w:tcPr>
            <w:tcW w:type="dxa" w:w="1695"/>
            <w:vAlign w:val="center"/>
            <w:vMerge w:val="restart"/>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科目名称</w:t>
            </w:r>
          </w:p>
        </w:tc>
        <w:tc>
          <w:tcPr>
            <w:tcW w:type="dxa" w:w="1815"/>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725"/>
            <w:vAlign w:val="center"/>
            <w:tcBorders>
              <w:bottom w:val="single" w:color="000000" w:sz="4"/>
              <w:left w:val="single" w:color="auto" w:sz="4"/>
              <w:right w:val="nil" w:color="auto"/>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425"/>
            <w:vAlign w:val="center"/>
            <w:vMerge w:val="restart"/>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小计</w:t>
            </w:r>
          </w:p>
        </w:tc>
        <w:tc>
          <w:tcPr>
            <w:tcW w:type="dxa" w:w="1710"/>
            <w:vAlign w:val="center"/>
            <w:vMerge w:val="restart"/>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基本支出</w:t>
            </w:r>
          </w:p>
        </w:tc>
        <w:tc>
          <w:tcPr>
            <w:tcW w:type="dxa" w:w="1920"/>
            <w:vAlign w:val="center"/>
            <w:vMerge w:val="restart"/>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项目支出</w:t>
            </w:r>
          </w:p>
        </w:tc>
        <w:tc>
          <w:tcPr>
            <w:tcW w:type="dxa" w:w="2690"/>
            <w:vAlign w:val="center"/>
            <w:tcBorders>
              <w:bottom w:val="single" w:color="auto" w:sz="4"/>
              <w:left w:val="single" w:color="auto" w:sz="4"/>
              <w:right w:val="single" w:color="auto" w:sz="4"/>
              <w:top w:val="single" w:color="auto" w:sz="4"/>
            </w:tcBorders>
            <w:shd w:val="clear"/>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r>
      <w:tr>
        <w:trPr>
          <w:trHeight w:hRule="atleast" w:val="321"/>
          <w:hidden w:val="0"/>
        </w:trPr>
        <w:tc>
          <w:tcPr>
            <w:tcW w:type="dxa" w:w="1639"/>
            <w:vAlign w:val="center"/>
            <w:gridSpan w:val="3"/>
            <w:vMerge/>
            <w:tcBorders>
              <w:bottom w:val="single" w:color="auto" w:sz="4"/>
              <w:left w:val="single" w:color="auto" w:sz="4"/>
              <w:right w:val="single" w:color="auto" w:sz="4"/>
              <w:top w:val="single" w:color="auto" w:sz="4"/>
            </w:tcBorders>
            <w:shd w:val="clear" w:color="000000"/>
          </w:tcPr>
          <w:p/>
        </w:tc>
        <w:tc>
          <w:tcPr>
            <w:tcW w:type="dxa" w:w="1695"/>
            <w:vAlign w:val="center"/>
            <w:vMerge/>
            <w:tcBorders>
              <w:bottom w:val="single" w:color="auto" w:sz="4"/>
              <w:left w:val="single" w:color="auto" w:sz="4"/>
              <w:right w:val="single" w:color="auto" w:sz="4"/>
              <w:top w:val="nil" w:color="auto"/>
            </w:tcBorders>
            <w:shd w:val="clear" w:color="000000"/>
          </w:tcPr>
          <w:p/>
        </w:tc>
        <w:tc>
          <w:tcPr>
            <w:tcW w:type="dxa" w:w="1815"/>
            <w:vAlign w:val="center"/>
            <w:tcBorders>
              <w:bottom w:val="single" w:color="auto" w:sz="4"/>
              <w:left w:val="single" w:color="auto" w:sz="4"/>
              <w:right w:val="single" w:color="auto" w:sz="4"/>
              <w:top w:val="single" w:color="auto" w:sz="4"/>
            </w:tcBorders>
            <w:shd w:val="clear"/>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725"/>
            <w:vAlign w:val="center"/>
            <w:tcBorders>
              <w:bottom w:val="single" w:color="000000" w:sz="4"/>
              <w:left w:val="single" w:color="auto" w:sz="4"/>
              <w:right w:val="nil" w:color="auto"/>
              <w:top w:val="single" w:color="auto" w:sz="4"/>
            </w:tcBorders>
            <w:shd w:val="clear"/>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425"/>
            <w:vAlign w:val="center"/>
            <w:vMerge/>
            <w:tcBorders>
              <w:bottom w:val="single" w:color="auto" w:sz="4"/>
              <w:left w:val="single" w:color="auto" w:sz="4"/>
              <w:right w:val="single" w:color="auto" w:sz="4"/>
              <w:top w:val="nil" w:color="auto"/>
            </w:tcBorders>
            <w:shd w:val="clear" w:color="000000"/>
          </w:tcPr>
          <w:p/>
        </w:tc>
        <w:tc>
          <w:tcPr>
            <w:tcW w:type="dxa" w:w="1710"/>
            <w:vAlign w:val="center"/>
            <w:vMerge/>
            <w:tcBorders>
              <w:bottom w:val="single" w:color="auto" w:sz="4"/>
              <w:left w:val="single" w:color="auto" w:sz="4"/>
              <w:right w:val="single" w:color="auto" w:sz="4"/>
              <w:top w:val="nil" w:color="auto"/>
            </w:tcBorders>
            <w:shd w:val="clear" w:color="000000"/>
          </w:tcPr>
          <w:p/>
        </w:tc>
        <w:tc>
          <w:tcPr>
            <w:tcW w:type="dxa" w:w="1920"/>
            <w:vAlign w:val="center"/>
            <w:vMerge/>
            <w:tcBorders>
              <w:bottom w:val="single" w:color="auto" w:sz="4"/>
              <w:left w:val="single" w:color="auto" w:sz="4"/>
              <w:right w:val="single" w:color="auto" w:sz="4"/>
              <w:top w:val="nil" w:color="auto"/>
            </w:tcBorders>
            <w:shd w:val="clear" w:color="000000"/>
          </w:tcPr>
          <w:p/>
        </w:tc>
        <w:tc>
          <w:tcPr>
            <w:tcW w:type="dxa" w:w="2690"/>
            <w:vAlign w:val="center"/>
            <w:tcBorders>
              <w:bottom w:val="single" w:color="auto" w:sz="4"/>
              <w:left w:val="single" w:color="auto" w:sz="4"/>
              <w:right w:val="single" w:color="auto" w:sz="4"/>
              <w:top w:val="single" w:color="auto" w:sz="4"/>
            </w:tcBorders>
            <w:shd w:val="clear"/>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r>
      <w:tr>
        <w:trPr>
          <w:trHeight w:hRule="atleast" w:val="321"/>
          <w:hidden w:val="0"/>
        </w:trPr>
        <w:tc>
          <w:tcPr>
            <w:tcW w:type="dxa" w:w="1639"/>
            <w:vAlign w:val="center"/>
            <w:gridSpan w:val="3"/>
            <w:vMerge/>
            <w:tcBorders>
              <w:bottom w:val="single" w:color="auto" w:sz="4"/>
              <w:left w:val="single" w:color="auto" w:sz="4"/>
              <w:right w:val="single" w:color="auto" w:sz="4"/>
              <w:top w:val="single" w:color="auto" w:sz="4"/>
            </w:tcBorders>
            <w:shd w:val="clear" w:color="000000"/>
          </w:tcPr>
          <w:p/>
        </w:tc>
        <w:tc>
          <w:tcPr>
            <w:tcW w:type="dxa" w:w="1695"/>
            <w:vAlign w:val="center"/>
            <w:vMerge/>
            <w:tcBorders>
              <w:bottom w:val="single" w:color="auto" w:sz="4"/>
              <w:left w:val="single" w:color="auto" w:sz="4"/>
              <w:right w:val="single" w:color="auto" w:sz="4"/>
              <w:top w:val="nil" w:color="auto"/>
            </w:tcBorders>
            <w:shd w:val="clear" w:color="000000"/>
          </w:tcPr>
          <w:p/>
        </w:tc>
        <w:tc>
          <w:tcPr>
            <w:tcW w:type="dxa" w:w="1815"/>
            <w:vAlign w:val="center"/>
            <w:tcBorders>
              <w:bottom w:val="single" w:color="auto" w:sz="4"/>
              <w:left w:val="single" w:color="auto" w:sz="4"/>
              <w:right w:val="single" w:color="auto" w:sz="4"/>
              <w:top w:val="single" w:color="auto" w:sz="4"/>
            </w:tcBorders>
            <w:shd w:val="clear"/>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725"/>
            <w:vAlign w:val="center"/>
            <w:tcBorders>
              <w:bottom w:val="single" w:color="000000" w:sz="4"/>
              <w:left w:val="single" w:color="auto" w:sz="4"/>
              <w:right w:val="nil" w:color="auto"/>
              <w:top w:val="single" w:color="auto" w:sz="4"/>
            </w:tcBorders>
            <w:shd w:val="clear"/>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425"/>
            <w:vAlign w:val="center"/>
            <w:vMerge/>
            <w:tcBorders>
              <w:bottom w:val="single" w:color="auto" w:sz="4"/>
              <w:left w:val="single" w:color="auto" w:sz="4"/>
              <w:right w:val="single" w:color="auto" w:sz="4"/>
              <w:top w:val="nil" w:color="auto"/>
            </w:tcBorders>
            <w:shd w:val="clear" w:color="000000"/>
          </w:tcPr>
          <w:p/>
        </w:tc>
        <w:tc>
          <w:tcPr>
            <w:tcW w:type="dxa" w:w="1710"/>
            <w:vAlign w:val="center"/>
            <w:vMerge/>
            <w:tcBorders>
              <w:bottom w:val="single" w:color="auto" w:sz="4"/>
              <w:left w:val="single" w:color="auto" w:sz="4"/>
              <w:right w:val="single" w:color="auto" w:sz="4"/>
              <w:top w:val="nil" w:color="auto"/>
            </w:tcBorders>
            <w:shd w:val="clear" w:color="000000"/>
          </w:tcPr>
          <w:p/>
        </w:tc>
        <w:tc>
          <w:tcPr>
            <w:tcW w:type="dxa" w:w="1920"/>
            <w:vAlign w:val="center"/>
            <w:vMerge/>
            <w:tcBorders>
              <w:bottom w:val="single" w:color="auto" w:sz="4"/>
              <w:left w:val="single" w:color="auto" w:sz="4"/>
              <w:right w:val="single" w:color="auto" w:sz="4"/>
              <w:top w:val="nil" w:color="auto"/>
            </w:tcBorders>
            <w:shd w:val="clear" w:color="000000"/>
          </w:tcPr>
          <w:p/>
        </w:tc>
        <w:tc>
          <w:tcPr>
            <w:tcW w:type="dxa" w:w="2690"/>
            <w:vAlign w:val="center"/>
            <w:tcBorders>
              <w:bottom w:val="single" w:color="auto" w:sz="4"/>
              <w:left w:val="single" w:color="auto" w:sz="4"/>
              <w:right w:val="single" w:color="auto" w:sz="4"/>
              <w:top w:val="single" w:color="auto" w:sz="4"/>
            </w:tcBorders>
            <w:shd w:val="clear"/>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r>
      <w:tr>
        <w:trPr>
          <w:trHeight w:hRule="atleast" w:val="308"/>
          <w:hidden w:val="0"/>
        </w:trPr>
        <w:tc>
          <w:tcPr>
            <w:tcW w:type="dxa" w:w="634"/>
            <w:vAlign w:val="center"/>
            <w:vMerge w:val="restart"/>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类</w:t>
            </w:r>
          </w:p>
        </w:tc>
        <w:tc>
          <w:tcPr>
            <w:tcW w:type="dxa" w:w="420"/>
            <w:vAlign w:val="center"/>
            <w:vMerge w:val="restart"/>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款</w:t>
            </w:r>
          </w:p>
        </w:tc>
        <w:tc>
          <w:tcPr>
            <w:tcW w:type="dxa" w:w="585"/>
            <w:vAlign w:val="center"/>
            <w:vMerge w:val="restart"/>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项</w:t>
            </w:r>
          </w:p>
        </w:tc>
        <w:tc>
          <w:tcPr>
            <w:tcW w:type="dxa" w:w="1695"/>
            <w:vAlign w:val="center"/>
            <w:tcBorders>
              <w:bottom w:val="single" w:color="auto" w:sz="4"/>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栏次</w:t>
            </w:r>
          </w:p>
        </w:tc>
        <w:tc>
          <w:tcPr>
            <w:tcW w:type="dxa" w:w="1815"/>
            <w:vAlign w:val="center"/>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1</w:t>
            </w:r>
          </w:p>
        </w:tc>
        <w:tc>
          <w:tcPr>
            <w:tcW w:type="dxa" w:w="1725"/>
            <w:vAlign w:val="center"/>
            <w:tcBorders>
              <w:bottom w:val="single" w:color="auto" w:sz="4"/>
              <w:left w:val="nil" w:color="auto"/>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2</w:t>
            </w:r>
          </w:p>
        </w:tc>
        <w:tc>
          <w:tcPr>
            <w:tcW w:type="dxa" w:w="1425"/>
            <w:vAlign w:val="center"/>
            <w:tcBorders>
              <w:bottom w:val="single" w:color="auto" w:sz="4"/>
              <w:left w:val="nil" w:color="auto"/>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3</w:t>
            </w:r>
          </w:p>
        </w:tc>
        <w:tc>
          <w:tcPr>
            <w:tcW w:type="dxa" w:w="1710"/>
            <w:vAlign w:val="center"/>
            <w:tcBorders>
              <w:bottom w:val="single" w:color="auto" w:sz="4"/>
              <w:left w:val="nil" w:color="auto"/>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4</w:t>
            </w:r>
          </w:p>
        </w:tc>
        <w:tc>
          <w:tcPr>
            <w:tcW w:type="dxa" w:w="1920"/>
            <w:vAlign w:val="center"/>
            <w:tcBorders>
              <w:bottom w:val="single" w:color="auto" w:sz="4"/>
              <w:left w:val="nil" w:color="auto"/>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5</w:t>
            </w:r>
          </w:p>
        </w:tc>
        <w:tc>
          <w:tcPr>
            <w:tcW w:type="dxa" w:w="2690"/>
            <w:vAlign w:val="center"/>
            <w:tcBorders>
              <w:bottom w:val="single" w:color="auto" w:sz="4"/>
              <w:left w:val="nil" w:color="auto"/>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6</w:t>
            </w:r>
          </w:p>
        </w:tc>
      </w:tr>
      <w:tr>
        <w:trPr>
          <w:trHeight w:hRule="atleast" w:val="308"/>
          <w:hidden w:val="0"/>
        </w:trPr>
        <w:tc>
          <w:tcPr>
            <w:tcW w:type="dxa" w:w="634"/>
            <w:vAlign w:val="center"/>
            <w:vMerge/>
            <w:tcBorders>
              <w:bottom w:val="single" w:color="auto" w:sz="4"/>
              <w:left w:val="single" w:color="auto" w:sz="4"/>
              <w:right w:val="single" w:color="auto" w:sz="4"/>
              <w:top w:val="nil" w:color="auto"/>
            </w:tcBorders>
            <w:shd w:val="clear" w:color="000000"/>
          </w:tcPr>
          <w:p/>
        </w:tc>
        <w:tc>
          <w:tcPr>
            <w:tcW w:type="dxa" w:w="420"/>
            <w:vAlign w:val="center"/>
            <w:vMerge/>
            <w:tcBorders>
              <w:bottom w:val="single" w:color="auto" w:sz="4"/>
              <w:left w:val="single" w:color="auto" w:sz="4"/>
              <w:right w:val="single" w:color="auto" w:sz="4"/>
              <w:top w:val="nil" w:color="auto"/>
            </w:tcBorders>
            <w:shd w:val="clear" w:color="000000"/>
          </w:tcPr>
          <w:p/>
        </w:tc>
        <w:tc>
          <w:tcPr>
            <w:tcW w:type="dxa" w:w="585"/>
            <w:vAlign w:val="center"/>
            <w:vMerge/>
            <w:tcBorders>
              <w:bottom w:val="single" w:color="auto" w:sz="4"/>
              <w:left w:val="single" w:color="auto" w:sz="4"/>
              <w:right w:val="single" w:color="auto" w:sz="4"/>
              <w:top w:val="nil" w:color="auto"/>
            </w:tcBorders>
            <w:shd w:val="clear" w:color="000000"/>
          </w:tcPr>
          <w:p/>
        </w:tc>
        <w:tc>
          <w:tcPr>
            <w:tcW w:type="dxa" w:w="1695"/>
            <w:vAlign w:val="center"/>
            <w:tcBorders>
              <w:bottom w:val="single" w:color="auto" w:sz="4"/>
              <w:left w:val="nil" w:color="auto"/>
              <w:right w:val="nil" w:color="auto"/>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合计</w:t>
            </w:r>
          </w:p>
        </w:tc>
        <w:tc>
          <w:tcPr>
            <w:tcW w:type="dxa" w:w="1815"/>
            <w:vAlign w:val="center"/>
            <w:tcBorders>
              <w:bottom w:val="single" w:color="auto" w:sz="4"/>
              <w:left w:val="single" w:color="auto" w:sz="4"/>
              <w:right w:val="single" w:color="auto" w:sz="4"/>
              <w:top w:val="nil" w:color="auto"/>
            </w:tcBorders>
            <w:shd w:val="clear" w:color="000000"/>
          </w:tcPr>
          <w:p>
            <w:pPr>
              <w:numPr>
                <w:ilvl w:val="0"/>
                <w:numId w:val="0"/>
              </w:numPr>
              <w:jc w:val="center"/>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4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1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92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269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r>
      <w:tr>
        <w:trPr>
          <w:trHeight w:hRule="atleast" w:val="351"/>
          <w:hidden w:val="0"/>
        </w:trPr>
        <w:tc>
          <w:tcPr>
            <w:tcW w:type="dxa" w:w="1639"/>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695"/>
            <w:vAlign w:val="center"/>
            <w:tcBorders>
              <w:bottom w:val="single" w:color="auto" w:sz="4"/>
              <w:left w:val="nil" w:color="auto"/>
              <w:right w:val="single" w:color="auto" w:sz="4"/>
              <w:top w:val="nil" w:color="auto"/>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81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4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1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92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269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r>
      <w:tr>
        <w:trPr>
          <w:trHeight w:hRule="atleast" w:val="308"/>
          <w:hidden w:val="0"/>
        </w:trPr>
        <w:tc>
          <w:tcPr>
            <w:tcW w:type="dxa" w:w="1639"/>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695"/>
            <w:vAlign w:val="center"/>
            <w:tcBorders>
              <w:bottom w:val="single" w:color="auto" w:sz="4"/>
              <w:left w:val="nil" w:color="auto"/>
              <w:right w:val="single" w:color="auto" w:sz="4"/>
              <w:top w:val="nil" w:color="auto"/>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81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4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1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92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269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r>
      <w:tr>
        <w:trPr>
          <w:trHeight w:hRule="atleast" w:val="308"/>
          <w:hidden w:val="0"/>
        </w:trPr>
        <w:tc>
          <w:tcPr>
            <w:tcW w:type="dxa" w:w="1639"/>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695"/>
            <w:vAlign w:val="center"/>
            <w:tcBorders>
              <w:bottom w:val="single" w:color="auto" w:sz="4"/>
              <w:left w:val="nil" w:color="auto"/>
              <w:right w:val="single" w:color="auto" w:sz="4"/>
              <w:top w:val="nil" w:color="auto"/>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81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4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1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92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269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r>
      <w:tr>
        <w:trPr>
          <w:trHeight w:hRule="atleast" w:val="308"/>
          <w:hidden w:val="0"/>
        </w:trPr>
        <w:tc>
          <w:tcPr>
            <w:tcW w:type="dxa" w:w="1639"/>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695"/>
            <w:vAlign w:val="center"/>
            <w:tcBorders>
              <w:bottom w:val="single" w:color="auto" w:sz="4"/>
              <w:left w:val="nil" w:color="auto"/>
              <w:right w:val="single" w:color="auto" w:sz="4"/>
              <w:top w:val="nil" w:color="auto"/>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81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4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71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192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c>
          <w:tcPr>
            <w:tcW w:type="dxa" w:w="269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　</w:t>
            </w:r>
          </w:p>
        </w:tc>
      </w:tr>
      <w:tr>
        <w:trPr>
          <w:trHeight w:hRule="atleast" w:val="308"/>
          <w:hidden w:val="0"/>
        </w:trPr>
        <w:tc>
          <w:tcPr>
            <w:tcW w:type="dxa" w:w="1639"/>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695"/>
            <w:vAlign w:val="center"/>
            <w:tcBorders>
              <w:bottom w:val="single" w:color="auto" w:sz="4"/>
              <w:left w:val="nil" w:color="auto"/>
              <w:right w:val="single" w:color="auto" w:sz="4"/>
              <w:top w:val="nil" w:color="auto"/>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81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7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4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71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92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269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r>
      <w:tr>
        <w:trPr>
          <w:trHeight w:hRule="atleast" w:val="308"/>
          <w:hidden w:val="0"/>
        </w:trPr>
        <w:tc>
          <w:tcPr>
            <w:tcW w:type="dxa" w:w="1639"/>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695"/>
            <w:vAlign w:val="center"/>
            <w:tcBorders>
              <w:bottom w:val="single" w:color="auto" w:sz="4"/>
              <w:left w:val="nil" w:color="auto"/>
              <w:right w:val="single" w:color="auto" w:sz="4"/>
              <w:top w:val="nil" w:color="auto"/>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81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7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4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71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92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269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r>
      <w:tr>
        <w:trPr>
          <w:trHeight w:hRule="atleast" w:val="308"/>
          <w:hidden w:val="0"/>
        </w:trPr>
        <w:tc>
          <w:tcPr>
            <w:tcW w:type="dxa" w:w="1639"/>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695"/>
            <w:vAlign w:val="center"/>
            <w:tcBorders>
              <w:bottom w:val="single" w:color="auto" w:sz="4"/>
              <w:left w:val="nil" w:color="auto"/>
              <w:right w:val="single" w:color="auto" w:sz="4"/>
              <w:top w:val="nil" w:color="auto"/>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81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7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425"/>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71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92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2690"/>
            <w:vAlign w:val="center"/>
            <w:tcBorders>
              <w:bottom w:val="single" w:color="auto" w:sz="4"/>
              <w:left w:val="nil" w:color="auto"/>
              <w:right w:val="single" w:color="auto" w:sz="4"/>
              <w:top w:val="nil" w:color="auto"/>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r>
      <w:tr>
        <w:trPr>
          <w:trHeight w:hRule="atleast" w:val="308"/>
          <w:hidden w:val="0"/>
        </w:trPr>
        <w:tc>
          <w:tcPr>
            <w:tcW w:type="dxa" w:w="1639"/>
            <w:vAlign w:val="center"/>
            <w:gridSpan w:val="3"/>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695"/>
            <w:vAlign w:val="center"/>
            <w:tcBorders>
              <w:bottom w:val="single" w:color="auto" w:sz="4"/>
              <w:left w:val="single" w:color="auto" w:sz="4"/>
              <w:right w:val="single" w:color="auto" w:sz="4"/>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p>
        </w:tc>
        <w:tc>
          <w:tcPr>
            <w:tcW w:type="dxa" w:w="1815"/>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725"/>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425"/>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71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192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c>
          <w:tcPr>
            <w:tcW w:type="dxa" w:w="2690"/>
            <w:vAlign w:val="center"/>
            <w:tcBorders>
              <w:bottom w:val="single" w:color="auto" w:sz="4"/>
              <w:left w:val="single" w:color="auto" w:sz="4"/>
              <w:right w:val="single" w:color="auto" w:sz="4"/>
              <w:top w:val="single" w:color="auto" w:sz="4"/>
            </w:tcBorders>
            <w:shd w:val="clear" w:color="000000"/>
          </w:tcPr>
          <w:p>
            <w:pPr>
              <w:numPr>
                <w:ilvl w:val="0"/>
                <w:numId w:val="0"/>
              </w:numPr>
              <w:jc w:val="right"/>
              <w:spacing w:lineRule="auto" w:line="240" w:before="0" w:after="160"/>
              <w:ind w:right="0" w:firstLine="0"/>
              <w:rPr>
                <w:shadow w:val="0"/>
                <w:color w:val="000000"/>
                <w:position w:val="0"/>
                <w:sz w:val="18"/>
                <w:szCs w:val="18"/>
                <w:rFonts w:ascii="宋体" w:eastAsia="Arial" w:hAnsi="Arial" w:hint="default"/>
              </w:rPr>
              <w:wordWrap w:val="off"/>
            </w:pPr>
          </w:p>
        </w:tc>
      </w:tr>
      <w:tr>
        <w:trPr>
          <w:trHeight w:hRule="atleast" w:val="615"/>
          <w:hidden w:val="0"/>
        </w:trPr>
        <w:tc>
          <w:tcPr>
            <w:tcW w:type="dxa" w:w="14619"/>
            <w:vAlign w:val="center"/>
            <w:gridSpan w:val="10"/>
            <w:tcBorders>
              <w:bottom w:val="nil" w:color="auto"/>
              <w:left w:val="nil" w:color="auto"/>
              <w:right w:val="nil" w:color="auto"/>
              <w:top w:val="single" w:color="auto" w:sz="4"/>
            </w:tcBorders>
            <w:shd w:val="clear" w:color="000000"/>
          </w:tcPr>
          <w:p>
            <w:pPr>
              <w:numPr>
                <w:ilvl w:val="0"/>
                <w:numId w:val="0"/>
              </w:numPr>
              <w:jc w:val="left"/>
              <w:spacing w:lineRule="auto" w:line="240" w:before="0" w:after="160"/>
              <w:ind w:right="0" w:firstLine="0"/>
              <w:rPr>
                <w:shadow w:val="0"/>
                <w:color w:val="000000"/>
                <w:position w:val="0"/>
                <w:sz w:val="18"/>
                <w:szCs w:val="18"/>
                <w:rFonts w:ascii="宋体" w:eastAsia="Arial" w:hAnsi="Arial" w:hint="default"/>
              </w:rPr>
              <w:wordWrap w:val="off"/>
            </w:pPr>
            <w:r>
              <w:rPr>
                <w:shadow w:val="0"/>
                <w:color w:val="000000"/>
                <w:position w:val="0"/>
                <w:sz w:val="18"/>
                <w:szCs w:val="18"/>
                <w:rFonts w:ascii="宋体" w:eastAsia="Arial" w:hAnsi="Arial" w:hint="default"/>
              </w:rPr>
              <w:t>注：本表反映部门本年度政府性基金预算财政拨款收入支出及结转结余情况,数据取自财决09表</w:t>
            </w:r>
          </w:p>
        </w:tc>
      </w:tr>
    </w:tbl>
    <w:p>
      <w:pPr>
        <w:sectPr>
          <w:headerReference w:type="even" r:id="rId5"/>
          <w:headerReference w:type="default" r:id="rId6"/>
          <w:footerReference w:type="even" r:id="rId7"/>
          <w:footerReference w:type="default" r:id="rId8"/>
          <w:headerReference w:type="first" r:id="rId9"/>
          <w:footerReference w:type="first" r:id="rId10"/>
          <w:pgSz w:w="16838" w:h="11906" w:orient="landscape"/>
          <w:pgMar w:top="624" w:left="1440" w:bottom="680" w:right="1440" w:header="680" w:footer="680" w:gutter="0"/>
          <w:pgNumType w:fmt="decimal"/>
          <w:docGrid w:type="default" w:linePitch="321" w:charSpace="0"/>
        </w:sectPr>
        <w:numPr>
          <w:ilvl w:val="0"/>
          <w:numId w:val="0"/>
        </w:numPr>
        <w:jc w:val="left"/>
        <w:spacing w:lineRule="auto" w:line="240" w:before="0" w:after="0"/>
        <w:ind w:right="0" w:firstLine="0"/>
        <w:rPr>
          <w:color w:val="auto"/>
          <w:position w:val="0"/>
          <w:sz w:val="21"/>
          <w:szCs w:val="21"/>
          <w:rFonts w:ascii="Calibri" w:eastAsia="宋体" w:hAnsi="宋体" w:hint="default"/>
        </w:rPr>
        <w:wordWrap w:val="off"/>
      </w:pPr>
    </w:p>
    <w:p>
      <w:pPr>
        <w:numPr>
          <w:ilvl w:val="0"/>
          <w:numId w:val="0"/>
        </w:numPr>
        <w:jc w:val="both"/>
        <w:spacing w:lineRule="auto" w:line="240" w:before="0" w:after="0"/>
        <w:ind w:right="0" w:firstLine="0"/>
        <w:rPr>
          <w:rStyle w:val="PO0"/>
          <w:spacing w:val="0"/>
          <w:vertAlign w:val="baseline"/>
          <w:color w:val="auto"/>
          <w:position w:val="0"/>
          <w:sz w:val="20"/>
          <w:szCs w:val="20"/>
          <w:smallCaps w:val="0"/>
          <w:rFonts w:ascii="Calibri" w:eastAsia="宋体" w:hAnsi="宋体" w:hint="default"/>
        </w:rPr>
        <w:wordWrap w:val="off"/>
        <w:autoSpaceDE w:val="1"/>
        <w:autoSpaceDN w:val="1"/>
      </w:pPr>
    </w:p>
    <w:p>
      <w:pPr>
        <w:numPr>
          <w:ilvl w:val="0"/>
          <w:numId w:val="0"/>
        </w:numPr>
        <w:jc w:val="both"/>
        <w:spacing w:lineRule="auto" w:line="240" w:before="0" w:after="0"/>
        <w:ind w:right="0" w:firstLine="0"/>
        <w:rPr>
          <w:color w:val="auto"/>
          <w:position w:val="0"/>
          <w:sz w:val="20"/>
          <w:szCs w:val="20"/>
          <w:rFonts w:ascii="宋体" w:eastAsia="宋体" w:hAnsi="宋体" w:hint="default"/>
        </w:rPr>
        <w:wordWrap w:val="off"/>
        <w:autoSpaceDE w:val="1"/>
        <w:autoSpaceDN w:val="1"/>
      </w:pPr>
    </w:p>
    <w:sectPr>
      <w:footerReference w:type="even" r:id="rId11"/>
      <w:footerReference w:type="default" r:id="rId12"/>
      <w:pgSz w:w="16783" w:h="11850" w:orient="landscape"/>
      <w:pgMar w:top="1800" w:left="1440" w:bottom="1800" w:right="1440" w:header="851" w:footer="794" w:gutter="0"/>
      <w:pgNumType w:fmt="decimal"/>
      <w:docGrid w:type="default" w:linePitch="312" w:charSpace="0"/>
    </w:sectPr>
  </w:body>
</w:document>
</file>

<file path=word/fontTable.xml><?xml version="1.0" encoding="utf-8"?>
<w:fonts xmlns:r="http://schemas.openxmlformats.org/officeDocument/2006/relationships" xmlns:w="http://schemas.openxmlformats.org/wordprocessingml/2006/main">
  <w:font w:name="宋体">
    <w:panose1 w:val="020F0502020204030204"/>
    <w:charset w:val="0"/>
    <w:family w:val="mordern"/>
    <w:pitch w:val="variable"/>
    <w:sig w:usb0="A00002EF" w:usb1="4000207B" w:usb2="00000000" w:usb3="00000000" w:csb0="FFFFFFFF" w:csb1="00000000"/>
  </w:font>
  <w:font w:name="Calibri">
    <w:panose1 w:val="020F0502020204030204"/>
    <w:charset w:val="0"/>
    <w:family w:val="mordern"/>
    <w:pitch w:val="variable"/>
    <w:sig w:usb0="A00002EF" w:usb1="4000207B" w:usb2="00000000" w:usb3="00000000" w:csb0="FFFFFFFF" w:csb1="00000000"/>
  </w:font>
  <w:font w:name="Wingdings">
    <w:panose1 w:val="020F0502020204030204"/>
    <w:charset w:val="0"/>
    <w:family w:val="mordern"/>
    <w:pitch w:val="variable"/>
    <w:sig w:usb0="A00002EF" w:usb1="4000207B" w:usb2="00000000" w:usb3="00000000" w:csb0="FFFFFFFF" w:csb1="00000000"/>
  </w:font>
  <w:font w:name="Times New Roman">
    <w:panose1 w:val="020F0502020204030204"/>
    <w:charset w:val="0"/>
    <w:family w:val="mordern"/>
    <w:pitch w:val="variable"/>
    <w:sig w:usb0="A00002EF" w:usb1="4000207B" w:usb2="00000000" w:usb3="00000000" w:csb0="FFFFFFFF" w:csb1="00000000"/>
  </w:font>
  <w:font w:name="黑体">
    <w:panose1 w:val="020F0502020204030204"/>
    <w:charset w:val="0"/>
    <w:family w:val="mordern"/>
    <w:pitch w:val="variable"/>
    <w:sig w:usb0="A00002EF" w:usb1="4000207B" w:usb2="00000000" w:usb3="00000000" w:csb0="FFFFFFFF" w:csb1="00000000"/>
  </w:font>
  <w:font w:name="Arial">
    <w:panose1 w:val="020F0502020204030204"/>
    <w:charset w:val="0"/>
    <w:family w:val="mordern"/>
    <w:pitch w:val="variable"/>
    <w:sig w:usb0="A00002EF" w:usb1="4000207B" w:usb2="00000000" w:usb3="00000000" w:csb0="FFFFFFFF" w:csb1="00000000"/>
  </w:font>
  <w:font w:name="맑은 고딕">
    <w:panose1 w:val="020F0502020204030204"/>
    <w:charset w:val="0"/>
    <w:family w:val="mordern"/>
    <w:pitch w:val="variable"/>
    <w:sig w:usb0="A00002EF" w:usb1="4000207B" w:usb2="00000000" w:usb3="00000000" w:csb0="FFFFFFFF" w:csb1="00000000"/>
  </w:font>
  <w:font w:name="华文中宋">
    <w:panose1 w:val="020F0502020204030204"/>
    <w:charset w:val="0"/>
    <w:family w:val="mordern"/>
    <w:pitch w:val="variable"/>
    <w:sig w:usb0="A00002EF" w:usb1="4000207B" w:usb2="00000000" w:usb3="00000000" w:csb0="FFFFFFFF" w:csb1="00000000"/>
  </w:font>
</w:fonts>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xmlns:w14="http://schemas.microsoft.com/office/word/2010/wordml" xmlns:wpi="http://schemas.microsoft.com/office/word/2010/wordprocessingInk">
  <w:p>
    <w:pPr>
      <w:pStyle w:val="PO153"/>
      <w:numPr>
        <w:ilvl w:val="0"/>
        <w:numId w:val="0"/>
      </w:numPr>
      <w:jc w:val="left"/>
      <w:spacing w:lineRule="auto" w:line="240" w:before="0" w:after="160"/>
      <w:ind w:right="0" w:firstLine="0"/>
      <w:tabs>
        <w:tab w:val="center" w:pos="4153"/>
        <w:tab w:val="center" w:pos="4153"/>
        <w:tab w:val="center" w:pos="4153"/>
        <w:tab w:val="center" w:pos="4153"/>
        <w:tab w:val="right" w:pos="8306"/>
        <w:tab w:val="right" w:pos="8306"/>
        <w:tab w:val="right" w:pos="8306"/>
        <w:tab w:val="right" w:pos="8306"/>
      </w:tabs>
      <w:rPr>
        <w:color w:val="auto"/>
        <w:position w:val="0"/>
        <w:sz w:val="18"/>
        <w:szCs w:val="18"/>
        <w:rFonts w:ascii="Calibri" w:eastAsia="宋体" w:hAnsi="宋体" w:hint="default"/>
      </w:rPr>
      <w:snapToGrid w:val="off"/>
      <w:autoSpaceDE w:val="1"/>
      <w:autoSpaceDN w:val="1"/>
    </w:pP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xmlns:w14="http://schemas.microsoft.com/office/word/2010/wordml" xmlns:wpi="http://schemas.microsoft.com/office/word/2010/wordprocessingInk">
  <w:p>
    <w:pPr>
      <w:pStyle w:val="PO153"/>
      <w:numPr>
        <w:ilvl w:val="0"/>
        <w:numId w:val="0"/>
      </w:numPr>
      <w:jc w:val="left"/>
      <w:spacing w:lineRule="auto" w:line="240" w:before="0" w:after="160"/>
      <w:ind w:right="0" w:firstLine="0"/>
      <w:tabs>
        <w:tab w:val="center" w:pos="4153"/>
        <w:tab w:val="center" w:pos="4153"/>
        <w:tab w:val="center" w:pos="4153"/>
        <w:tab w:val="center" w:pos="4153"/>
        <w:tab w:val="right" w:pos="8306"/>
        <w:tab w:val="right" w:pos="8306"/>
        <w:tab w:val="right" w:pos="8306"/>
        <w:tab w:val="right" w:pos="8306"/>
      </w:tabs>
      <w:rPr>
        <w:color w:val="auto"/>
        <w:position w:val="0"/>
        <w:sz w:val="18"/>
        <w:szCs w:val="18"/>
        <w:rFonts w:ascii="Calibri" w:eastAsia="宋体" w:hAnsi="宋体" w:hint="default"/>
      </w:rPr>
      <w:snapToGrid w:val="off"/>
      <w:autoSpaceDE w:val="1"/>
      <w:autoSpaceDN w:val="1"/>
    </w:pP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xmlns:w14="http://schemas.microsoft.com/office/word/2010/wordml" xmlns:wpi="http://schemas.microsoft.com/office/word/2010/wordprocessingInk">
  <w:p>
    <w:pPr>
      <w:pStyle w:val="PO153"/>
      <w:numPr>
        <w:ilvl w:val="0"/>
        <w:numId w:val="0"/>
      </w:numPr>
      <w:jc w:val="left"/>
      <w:spacing w:lineRule="auto" w:line="240" w:before="0" w:after="160"/>
      <w:ind w:right="0" w:firstLine="0"/>
      <w:tabs>
        <w:tab w:val="center" w:pos="4153"/>
        <w:tab w:val="center" w:pos="4153"/>
        <w:tab w:val="center" w:pos="4153"/>
        <w:tab w:val="center" w:pos="4153"/>
        <w:tab w:val="right" w:pos="8306"/>
        <w:tab w:val="right" w:pos="8306"/>
        <w:tab w:val="right" w:pos="8306"/>
        <w:tab w:val="right" w:pos="8306"/>
      </w:tabs>
      <w:rPr>
        <w:color w:val="auto"/>
        <w:position w:val="0"/>
        <w:sz w:val="18"/>
        <w:szCs w:val="18"/>
        <w:rFonts w:ascii="Calibri" w:eastAsia="宋体" w:hAnsi="宋体" w:hint="default"/>
      </w:rPr>
      <w:snapToGrid w:val="off"/>
      <w:autoSpaceDE w:val="1"/>
      <w:autoSpaceDN w:val="1"/>
    </w:pPr>
  </w:p>
</w:ftr>
</file>

<file path=word/footer20.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xmlns:w14="http://schemas.microsoft.com/office/word/2010/wordml" xmlns:wpi="http://schemas.microsoft.com/office/word/2010/wordprocessingInk">
  <w:p>
    <w:pPr>
      <w:pStyle w:val="PO153"/>
      <w:numPr>
        <w:ilvl w:val="0"/>
        <w:numId w:val="0"/>
      </w:numPr>
      <w:jc w:val="left"/>
      <w:spacing w:lineRule="auto" w:line="240" w:before="0" w:after="160"/>
      <w:ind w:right="0" w:firstLine="0"/>
      <w:tabs>
        <w:tab w:val="center" w:pos="4153"/>
        <w:tab w:val="center" w:pos="4153"/>
        <w:tab w:val="center" w:pos="4153"/>
        <w:tab w:val="center" w:pos="4153"/>
        <w:tab w:val="right" w:pos="8306"/>
        <w:tab w:val="right" w:pos="8306"/>
        <w:tab w:val="right" w:pos="8306"/>
        <w:tab w:val="right" w:pos="8306"/>
      </w:tabs>
      <w:rPr>
        <w:rStyle w:val="PO155"/>
        <w:color w:val="auto"/>
        <w:position w:val="0"/>
        <w:sz w:val="18"/>
        <w:szCs w:val="18"/>
        <w:rFonts w:ascii="Calibri" w:eastAsia="宋体" w:hAnsi="宋体" w:hint="default"/>
      </w:rPr>
      <w:snapToGrid w:val="off"/>
      <w:autoSpaceDE w:val="1"/>
      <w:autoSpaceDN w:val="1"/>
    </w:pPr>
    <w:r>
      <w:rPr>
        <w:color w:val="auto"/>
        <w:position w:val="0"/>
        <w:sz w:val="18"/>
        <w:szCs w:val="18"/>
        <w:rFonts w:ascii="Calibri" w:eastAsia="宋体" w:hAnsi="宋体" w:hint="default"/>
      </w:rPr>
      <w:fldChar w:fldCharType="begin"/>
    </w:r>
    <w:r>
      <w:instrText>PAGE  \* MERGEFORMAT</w:instrText>
    </w:r>
    <w:r>
      <w:fldChar w:fldCharType="separate"/>
    </w:r>
    <w:r>
      <w:rPr>
        <w:rStyle w:val="PO155"/>
        <w:color w:val="auto"/>
        <w:position w:val="0"/>
        <w:sz w:val="18"/>
        <w:szCs w:val="18"/>
        <w:rFonts w:ascii="Calibri" w:eastAsia="宋体" w:hAnsi="宋体" w:hint="default"/>
      </w:rPr>
      <w:t>20</w:t>
    </w:r>
    <w:r>
      <w:rPr>
        <w:rStyle w:val="PO155"/>
        <w:color w:val="auto"/>
        <w:position w:val="0"/>
        <w:sz w:val="18"/>
        <w:szCs w:val="18"/>
        <w:rFonts w:ascii="Calibri" w:eastAsia="宋体" w:hAnsi="宋体" w:hint="default"/>
      </w:rPr>
      <w:fldChar w:fldCharType="end"/>
    </w:r>
  </w:p>
  <w:p>
    <w:pPr>
      <w:pStyle w:val="PO153"/>
      <w:numPr>
        <w:ilvl w:val="0"/>
        <w:numId w:val="0"/>
      </w:numPr>
      <w:jc w:val="left"/>
      <w:spacing w:lineRule="auto" w:line="240" w:before="0" w:after="160"/>
      <w:ind w:right="0" w:firstLine="0"/>
      <w:tabs>
        <w:tab w:val="center" w:pos="4153"/>
        <w:tab w:val="center" w:pos="4153"/>
        <w:tab w:val="center" w:pos="4153"/>
        <w:tab w:val="center" w:pos="4153"/>
        <w:tab w:val="right" w:pos="8306"/>
        <w:tab w:val="right" w:pos="8306"/>
        <w:tab w:val="right" w:pos="8306"/>
        <w:tab w:val="right" w:pos="8306"/>
      </w:tabs>
      <w:rPr>
        <w:color w:val="auto"/>
        <w:position w:val="0"/>
        <w:sz w:val="18"/>
        <w:szCs w:val="18"/>
        <w:rFonts w:ascii="Calibri" w:eastAsia="宋体" w:hAnsi="宋体" w:hint="default"/>
      </w:rPr>
      <w:snapToGrid w:val="off"/>
      <w:autoSpaceDE w:val="1"/>
      <w:autoSpaceDN w:val="1"/>
    </w:pPr>
  </w:p>
</w:ftr>
</file>

<file path=word/footer2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xmlns:w14="http://schemas.microsoft.com/office/word/2010/wordml" xmlns:wpi="http://schemas.microsoft.com/office/word/2010/wordprocessingInk">
  <w:p>
    <w:pPr>
      <w:pStyle w:val="PO153"/>
      <w:numPr>
        <w:ilvl w:val="0"/>
        <w:numId w:val="0"/>
      </w:numPr>
      <w:jc w:val="left"/>
      <w:spacing w:lineRule="auto" w:line="240" w:before="0" w:after="160"/>
      <w:ind w:right="0" w:firstLine="0"/>
      <w:tabs>
        <w:tab w:val="center" w:pos="4153"/>
        <w:tab w:val="center" w:pos="4153"/>
        <w:tab w:val="center" w:pos="4153"/>
        <w:tab w:val="center" w:pos="4153"/>
        <w:tab w:val="right" w:pos="8306"/>
        <w:tab w:val="right" w:pos="8306"/>
        <w:tab w:val="right" w:pos="8306"/>
        <w:tab w:val="right" w:pos="8306"/>
      </w:tabs>
      <w:rPr>
        <w:color w:val="auto"/>
        <w:position w:val="0"/>
        <w:sz w:val="18"/>
        <w:szCs w:val="18"/>
        <w:rFonts w:ascii="Calibri" w:eastAsia="宋体" w:hAnsi="宋体" w:hint="default"/>
      </w:rPr>
      <w:snapToGrid w:val="off"/>
      <w:autoSpaceDE w:val="1"/>
      <w:autoSpaceDN w:val="1"/>
    </w:pPr>
  </w:p>
</w:ft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xmlns:w14="http://schemas.microsoft.com/office/word/2010/wordml" xmlns:wpi="http://schemas.microsoft.com/office/word/2010/wordprocessingInk">
  <w:p>
    <w:pPr>
      <w:pStyle w:val="PO154"/>
      <w:numPr>
        <w:ilvl w:val="0"/>
        <w:numId w:val="0"/>
      </w:numPr>
      <w:jc w:val="both"/>
      <w:spacing w:lineRule="auto" w:line="240" w:before="0" w:after="160"/>
      <w:pBdr>
        <w:top w:val="nil" w:sz="0" w:space="0" w:color="000000"/>
        <w:bottom w:val="nil" w:sz="0" w:space="0" w:color="000000"/>
        <w:left w:val="nil" w:sz="0" w:space="0" w:color="000000"/>
        <w:right w:val="nil" w:sz="0" w:space="0" w:color="000000"/>
      </w:pBdr>
      <w:ind w:right="0" w:firstLine="0"/>
      <w:tabs>
        <w:tab w:val="center" w:pos="4153"/>
        <w:tab w:val="center" w:pos="4153"/>
        <w:tab w:val="center" w:pos="4153"/>
        <w:tab w:val="center" w:pos="4153"/>
        <w:tab w:val="right" w:pos="8306"/>
        <w:tab w:val="right" w:pos="8306"/>
        <w:tab w:val="right" w:pos="8306"/>
        <w:tab w:val="right" w:pos="8306"/>
      </w:tabs>
      <w:rPr>
        <w:color w:val="auto"/>
        <w:position w:val="0"/>
        <w:sz w:val="18"/>
        <w:szCs w:val="18"/>
        <w:rFonts w:ascii="Calibri" w:eastAsia="宋体" w:hAnsi="宋体" w:hint="default"/>
      </w:rPr>
      <w:snapToGrid w:val="off"/>
      <w:autoSpaceDE w:val="1"/>
      <w:autoSpaceDN w:val="1"/>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xmlns:w14="http://schemas.microsoft.com/office/word/2010/wordml" xmlns:wpi="http://schemas.microsoft.com/office/word/2010/wordprocessingInk">
  <w:p>
    <w:pPr>
      <w:pStyle w:val="PO154"/>
      <w:numPr>
        <w:ilvl w:val="0"/>
        <w:numId w:val="0"/>
      </w:numPr>
      <w:jc w:val="both"/>
      <w:spacing w:lineRule="auto" w:line="240" w:before="0" w:after="160"/>
      <w:pBdr>
        <w:top w:val="nil" w:sz="0" w:space="0" w:color="000000"/>
        <w:bottom w:val="nil" w:sz="0" w:space="0" w:color="000000"/>
        <w:left w:val="nil" w:sz="0" w:space="0" w:color="000000"/>
        <w:right w:val="nil" w:sz="0" w:space="0" w:color="000000"/>
      </w:pBdr>
      <w:ind w:right="0" w:firstLine="0"/>
      <w:tabs>
        <w:tab w:val="center" w:pos="4153"/>
        <w:tab w:val="center" w:pos="4153"/>
        <w:tab w:val="center" w:pos="4153"/>
        <w:tab w:val="center" w:pos="4153"/>
        <w:tab w:val="right" w:pos="8306"/>
        <w:tab w:val="right" w:pos="8306"/>
        <w:tab w:val="right" w:pos="8306"/>
        <w:tab w:val="right" w:pos="8306"/>
      </w:tabs>
      <w:rPr>
        <w:color w:val="auto"/>
        <w:position w:val="0"/>
        <w:sz w:val="18"/>
        <w:szCs w:val="18"/>
        <w:rFonts w:ascii="Calibri" w:eastAsia="宋体" w:hAnsi="宋体" w:hint="default"/>
      </w:rPr>
      <w:snapToGrid w:val="off"/>
      <w:autoSpaceDE w:val="1"/>
      <w:autoSpaceDN w:val="1"/>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xmlns:w14="http://schemas.microsoft.com/office/word/2010/wordml" xmlns:wpi="http://schemas.microsoft.com/office/word/2010/wordprocessingInk">
  <w:p>
    <w:pPr>
      <w:pStyle w:val="PO154"/>
      <w:numPr>
        <w:ilvl w:val="0"/>
        <w:numId w:val="0"/>
      </w:numPr>
      <w:jc w:val="both"/>
      <w:spacing w:lineRule="auto" w:line="240" w:before="0" w:after="160"/>
      <w:pBdr>
        <w:top w:val="nil" w:sz="0" w:space="0" w:color="000000"/>
        <w:bottom w:val="nil" w:sz="0" w:space="0" w:color="000000"/>
        <w:left w:val="nil" w:sz="0" w:space="0" w:color="000000"/>
        <w:right w:val="nil" w:sz="0" w:space="0" w:color="000000"/>
      </w:pBdr>
      <w:ind w:right="0" w:firstLine="0"/>
      <w:tabs>
        <w:tab w:val="center" w:pos="4153"/>
        <w:tab w:val="center" w:pos="4153"/>
        <w:tab w:val="center" w:pos="4153"/>
        <w:tab w:val="center" w:pos="4153"/>
        <w:tab w:val="right" w:pos="8306"/>
        <w:tab w:val="right" w:pos="8306"/>
        <w:tab w:val="right" w:pos="8306"/>
        <w:tab w:val="right" w:pos="8306"/>
      </w:tabs>
      <w:rPr>
        <w:color w:val="auto"/>
        <w:position w:val="0"/>
        <w:sz w:val="18"/>
        <w:szCs w:val="18"/>
        <w:rFonts w:ascii="Calibri" w:eastAsia="宋体" w:hAnsi="宋体" w:hint="default"/>
      </w:rPr>
      <w:snapToGrid w:val="off"/>
      <w:autoSpaceDE w:val="1"/>
      <w:autoSpaceDN w:val="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p14="http://schemas.microsoft.com/office/word/2010/wordprocessingDrawing" xmlns:w10="urn:schemas-microsoft-com:office:word" xmlns:w="http://schemas.openxmlformats.org/wordprocessingml/2006/main" xmlns:wpg="http://schemas.microsoft.com/office/word/2010/wordprocessingGroup" xmlns:wne="http://schemas.microsoft.com/office/word/2006/wordml" xmlns:wps="http://schemas.microsoft.com/office/word/2010/wordprocessingShape" xmlns:wpc="http://schemas.microsoft.com/office/word/2010/wordprocessingCanvas" xmlns:mc="http://schemas.openxmlformats.org/markup-compatibility/2006">
  <w:abstractNum w:abstractNumId="0">
    <w:multiLevelType w:val="multilevel"/>
    <w:nsid w:val="2F000000"/>
    <w:tmpl w:val="1F000014"/>
    <w:lvl w:ilvl="0">
      <w:lvlJc w:val="left"/>
      <w:numFmt w:val="japaneseCounting"/>
      <w:start w:val="2"/>
      <w:suff w:val="tab"/>
      <w:pPr>
        <w:ind w:left="1515" w:hanging="720"/>
        <w:jc w:val="both"/>
      </w:pPr>
      <w:rPr>
        <w:shd w:val="clear"/>
        <w:sz w:val="20"/>
        <w:szCs w:val="20"/>
        <w:w w:val="100"/>
      </w:rPr>
      <w:lvlText w:val="%1、"/>
    </w:lvl>
    <w:lvl w:ilvl="1">
      <w:lvlJc w:val="left"/>
      <w:numFmt w:val="lowerLetter"/>
      <w:start w:val="1"/>
      <w:suff w:val="tab"/>
      <w:pPr>
        <w:ind w:left="1635" w:hanging="420"/>
        <w:jc w:val="both"/>
      </w:pPr>
      <w:lvlText w:val="%2)"/>
    </w:lvl>
    <w:lvl w:ilvl="2">
      <w:lvlJc w:val="right"/>
      <w:numFmt w:val="lowerRoman"/>
      <w:start w:val="1"/>
      <w:suff w:val="tab"/>
      <w:pPr>
        <w:ind w:left="2055" w:hanging="420"/>
        <w:jc w:val="both"/>
      </w:pPr>
      <w:lvlText w:val="%3."/>
    </w:lvl>
    <w:lvl w:ilvl="3">
      <w:lvlJc w:val="left"/>
      <w:numFmt w:val="decimal"/>
      <w:start w:val="1"/>
      <w:suff w:val="tab"/>
      <w:pPr>
        <w:ind w:left="2475" w:hanging="420"/>
        <w:jc w:val="both"/>
      </w:pPr>
      <w:lvlText w:val="%4."/>
    </w:lvl>
    <w:lvl w:ilvl="4">
      <w:lvlJc w:val="left"/>
      <w:numFmt w:val="lowerLetter"/>
      <w:start w:val="1"/>
      <w:suff w:val="tab"/>
      <w:pPr>
        <w:ind w:left="2895" w:hanging="420"/>
        <w:jc w:val="both"/>
      </w:pPr>
      <w:lvlText w:val="%5)"/>
    </w:lvl>
    <w:lvl w:ilvl="5">
      <w:lvlJc w:val="right"/>
      <w:numFmt w:val="lowerRoman"/>
      <w:start w:val="1"/>
      <w:suff w:val="tab"/>
      <w:pPr>
        <w:ind w:left="3315" w:hanging="420"/>
        <w:jc w:val="both"/>
      </w:pPr>
      <w:lvlText w:val="%6."/>
    </w:lvl>
    <w:lvl w:ilvl="6">
      <w:lvlJc w:val="left"/>
      <w:numFmt w:val="decimal"/>
      <w:start w:val="1"/>
      <w:suff w:val="tab"/>
      <w:pPr>
        <w:ind w:left="3735" w:hanging="420"/>
        <w:jc w:val="both"/>
      </w:pPr>
      <w:lvlText w:val="%7."/>
    </w:lvl>
    <w:lvl w:ilvl="7">
      <w:lvlJc w:val="left"/>
      <w:numFmt w:val="lowerLetter"/>
      <w:start w:val="1"/>
      <w:suff w:val="tab"/>
      <w:pPr>
        <w:ind w:left="4155" w:hanging="420"/>
        <w:jc w:val="both"/>
      </w:pPr>
      <w:lvlText w:val="%8)"/>
    </w:lvl>
    <w:lvl w:ilvl="8">
      <w:lvlJc w:val="right"/>
      <w:numFmt w:val="lowerRoman"/>
      <w:start w:val="1"/>
      <w:suff w:val="tab"/>
      <w:pPr>
        <w:ind w:left="4575" w:hanging="420"/>
        <w:jc w:val="both"/>
      </w:pPr>
      <w:lvlText w:val="%9."/>
    </w:lvl>
  </w:abstractNum>
  <w:abstractNum w:abstractNumId="1">
    <w:multiLevelType w:val="hybridMultilevel"/>
    <w:nsid w:val="2F000001"/>
    <w:tmpl w:val="1F002411"/>
    <w:lvl w:ilvl="0">
      <w:lvlJc w:val="left"/>
      <w:numFmt w:val="decimal"/>
      <w:start w:val="1"/>
      <w:suff w:val="nothing"/>
      <w:pPr>
        <w:ind w:left="800" w:firstLine="0"/>
        <w:jc w:val="both"/>
      </w:pPr>
      <w:rPr>
        <w:shd w:val="clear"/>
        <w:sz w:val="20"/>
        <w:szCs w:val="20"/>
        <w:w w:val="100"/>
      </w:rPr>
      <w:lvlText w:val="%1、"/>
    </w:lvl>
    <w:lvl w:ilvl="1">
      <w:lvlJc w:val="left"/>
      <w:numFmt w:val="decimal"/>
      <w:start w:val="1"/>
      <w:suff w:val="nothing"/>
      <w:pPr>
        <w:ind w:left="800" w:firstLine="0"/>
        <w:jc w:val="both"/>
      </w:pPr>
      <w:rPr>
        <w:shd w:val="clear"/>
        <w:sz w:val="20"/>
        <w:szCs w:val="20"/>
        <w:w w:val="100"/>
      </w:rPr>
      <w:lvlText w:val="%1、"/>
    </w:lvl>
    <w:lvl w:ilvl="2">
      <w:lvlJc w:val="left"/>
      <w:numFmt w:val="decimal"/>
      <w:start w:val="1"/>
      <w:suff w:val="nothing"/>
      <w:pPr>
        <w:ind w:left="800" w:firstLine="0"/>
        <w:jc w:val="both"/>
      </w:pPr>
      <w:rPr>
        <w:shd w:val="clear"/>
        <w:sz w:val="20"/>
        <w:szCs w:val="20"/>
        <w:w w:val="100"/>
      </w:rPr>
      <w:lvlText w:val="%1、"/>
    </w:lvl>
    <w:lvl w:ilvl="3">
      <w:lvlJc w:val="left"/>
      <w:numFmt w:val="decimal"/>
      <w:start w:val="1"/>
      <w:suff w:val="nothing"/>
      <w:pPr>
        <w:ind w:left="800" w:firstLine="0"/>
        <w:jc w:val="both"/>
      </w:pPr>
      <w:rPr>
        <w:shd w:val="clear"/>
        <w:sz w:val="20"/>
        <w:szCs w:val="20"/>
        <w:w w:val="100"/>
      </w:rPr>
      <w:lvlText w:val="%1、"/>
    </w:lvl>
    <w:lvl w:ilvl="4">
      <w:lvlJc w:val="left"/>
      <w:numFmt w:val="decimal"/>
      <w:start w:val="1"/>
      <w:suff w:val="nothing"/>
      <w:pPr>
        <w:ind w:left="800" w:firstLine="0"/>
        <w:jc w:val="both"/>
      </w:pPr>
      <w:rPr>
        <w:shd w:val="clear"/>
        <w:sz w:val="20"/>
        <w:szCs w:val="20"/>
        <w:w w:val="100"/>
      </w:rPr>
      <w:lvlText w:val="%1、"/>
    </w:lvl>
    <w:lvl w:ilvl="5">
      <w:lvlJc w:val="left"/>
      <w:numFmt w:val="decimal"/>
      <w:start w:val="1"/>
      <w:suff w:val="nothing"/>
      <w:pPr>
        <w:ind w:left="800" w:firstLine="0"/>
        <w:jc w:val="both"/>
      </w:pPr>
      <w:rPr>
        <w:shd w:val="clear"/>
        <w:sz w:val="20"/>
        <w:szCs w:val="20"/>
        <w:w w:val="100"/>
      </w:rPr>
      <w:lvlText w:val="%1、"/>
    </w:lvl>
    <w:lvl w:ilvl="6">
      <w:lvlJc w:val="left"/>
      <w:numFmt w:val="decimal"/>
      <w:start w:val="1"/>
      <w:suff w:val="nothing"/>
      <w:pPr>
        <w:ind w:left="800" w:firstLine="0"/>
        <w:jc w:val="both"/>
      </w:pPr>
      <w:rPr>
        <w:shd w:val="clear"/>
        <w:sz w:val="20"/>
        <w:szCs w:val="20"/>
        <w:w w:val="100"/>
      </w:rPr>
      <w:lvlText w:val="%1、"/>
    </w:lvl>
    <w:lvl w:ilvl="7">
      <w:lvlJc w:val="left"/>
      <w:numFmt w:val="decimal"/>
      <w:start w:val="1"/>
      <w:suff w:val="nothing"/>
      <w:pPr>
        <w:ind w:left="800" w:firstLine="0"/>
        <w:jc w:val="both"/>
      </w:pPr>
      <w:rPr>
        <w:shd w:val="clear"/>
        <w:sz w:val="20"/>
        <w:szCs w:val="20"/>
        <w:w w:val="100"/>
      </w:rPr>
      <w:lvlText w:val="%1、"/>
    </w:lvl>
    <w:lvl w:ilvl="8">
      <w:lvlJc w:val="left"/>
      <w:numFmt w:val="decimal"/>
      <w:start w:val="1"/>
      <w:suff w:val="nothing"/>
      <w:pPr>
        <w:ind w:left="800" w:firstLine="0"/>
        <w:jc w:val="both"/>
      </w:pPr>
      <w:rPr>
        <w:shd w:val="clear"/>
        <w:sz w:val="20"/>
        <w:szCs w:val="20"/>
        <w:w w:val="100"/>
      </w:rPr>
      <w:lvlText w:val="%1、"/>
    </w:lvl>
  </w:abstractNum>
  <w:abstractNum w:abstractNumId="2">
    <w:multiLevelType w:val="hybridMultilevel"/>
    <w:nsid w:val="2F000002"/>
    <w:tmpl w:val="1F000C5F"/>
    <w:lvl w:ilvl="0">
      <w:lvlJc w:val="left"/>
      <w:numFmt w:val="decimal"/>
      <w:start w:val="1"/>
      <w:suff w:val="nothing"/>
      <w:lvlText w:val="（%1）"/>
    </w:lvl>
    <w:lvl w:ilvl="1">
      <w:lvlJc w:val="left"/>
      <w:numFmt w:val="decimal"/>
      <w:start w:val="1"/>
      <w:suff w:val="nothing"/>
      <w:lvlText w:val="（%1）"/>
    </w:lvl>
    <w:lvl w:ilvl="2">
      <w:lvlJc w:val="left"/>
      <w:numFmt w:val="decimal"/>
      <w:start w:val="1"/>
      <w:suff w:val="nothing"/>
      <w:lvlText w:val="（%1）"/>
    </w:lvl>
    <w:lvl w:ilvl="3">
      <w:lvlJc w:val="left"/>
      <w:numFmt w:val="decimal"/>
      <w:start w:val="1"/>
      <w:suff w:val="nothing"/>
      <w:lvlText w:val="（%1）"/>
    </w:lvl>
    <w:lvl w:ilvl="4">
      <w:lvlJc w:val="left"/>
      <w:numFmt w:val="decimal"/>
      <w:start w:val="1"/>
      <w:suff w:val="nothing"/>
      <w:lvlText w:val="（%1）"/>
    </w:lvl>
    <w:lvl w:ilvl="5">
      <w:lvlJc w:val="left"/>
      <w:numFmt w:val="decimal"/>
      <w:start w:val="1"/>
      <w:suff w:val="nothing"/>
      <w:lvlText w:val="（%1）"/>
    </w:lvl>
    <w:lvl w:ilvl="6">
      <w:lvlJc w:val="left"/>
      <w:numFmt w:val="decimal"/>
      <w:start w:val="1"/>
      <w:suff w:val="nothing"/>
      <w:lvlText w:val="（%1）"/>
    </w:lvl>
    <w:lvl w:ilvl="7">
      <w:lvlJc w:val="left"/>
      <w:numFmt w:val="decimal"/>
      <w:start w:val="1"/>
      <w:suff w:val="nothing"/>
      <w:lvlText w:val="（%1）"/>
    </w:lvl>
    <w:lvl w:ilvl="8">
      <w:lvlJc w:val="left"/>
      <w:numFmt w:val="decimal"/>
      <w:start w:val="1"/>
      <w:suff w:val="nothing"/>
      <w:lvlText w:val="（%1）"/>
    </w:lvl>
  </w:abstractNum>
  <w:abstractNum w:abstractNumId="3">
    <w:multiLevelType w:val="hybridMultilevel"/>
    <w:nsid w:val="2F000003"/>
    <w:tmpl w:val="1F0033C2"/>
    <w:lvl w:ilvl="0">
      <w:lvlJc w:val="left"/>
      <w:numFmt w:val="decimal"/>
      <w:start w:val="2"/>
      <w:suff w:val="nothing"/>
      <w:lvlText w:val="（%1）"/>
    </w:lvl>
    <w:lvl w:ilvl="1">
      <w:lvlJc w:val="left"/>
      <w:numFmt w:val="decimal"/>
      <w:start w:val="2"/>
      <w:suff w:val="nothing"/>
      <w:lvlText w:val="（%1）"/>
    </w:lvl>
    <w:lvl w:ilvl="2">
      <w:lvlJc w:val="left"/>
      <w:numFmt w:val="decimal"/>
      <w:start w:val="2"/>
      <w:suff w:val="nothing"/>
      <w:lvlText w:val="（%1）"/>
    </w:lvl>
    <w:lvl w:ilvl="3">
      <w:lvlJc w:val="left"/>
      <w:numFmt w:val="decimal"/>
      <w:start w:val="2"/>
      <w:suff w:val="nothing"/>
      <w:lvlText w:val="（%1）"/>
    </w:lvl>
    <w:lvl w:ilvl="4">
      <w:lvlJc w:val="left"/>
      <w:numFmt w:val="decimal"/>
      <w:start w:val="2"/>
      <w:suff w:val="nothing"/>
      <w:lvlText w:val="（%1）"/>
    </w:lvl>
    <w:lvl w:ilvl="5">
      <w:lvlJc w:val="left"/>
      <w:numFmt w:val="decimal"/>
      <w:start w:val="2"/>
      <w:suff w:val="nothing"/>
      <w:lvlText w:val="（%1）"/>
    </w:lvl>
    <w:lvl w:ilvl="6">
      <w:lvlJc w:val="left"/>
      <w:numFmt w:val="decimal"/>
      <w:start w:val="2"/>
      <w:suff w:val="nothing"/>
      <w:lvlText w:val="（%1）"/>
    </w:lvl>
    <w:lvl w:ilvl="7">
      <w:lvlJc w:val="left"/>
      <w:numFmt w:val="decimal"/>
      <w:start w:val="2"/>
      <w:suff w:val="nothing"/>
      <w:lvlText w:val="（%1）"/>
    </w:lvl>
    <w:lvl w:ilvl="8">
      <w:lvlJc w:val="left"/>
      <w:numFmt w:val="decimal"/>
      <w:start w:val="2"/>
      <w:suff w:val="nothing"/>
      <w:lvlText w:val="（%1）"/>
    </w:lvl>
  </w:abstractNum>
  <w:abstractNum w:abstractNumId="4">
    <w:multiLevelType w:val="hybridMultilevel"/>
    <w:nsid w:val="2F000004"/>
    <w:tmpl w:val="1F002570"/>
    <w:lvl w:ilvl="0">
      <w:lvlJc w:val="left"/>
      <w:numFmt w:val="decimal"/>
      <w:start w:val="1"/>
      <w:suff w:val="nothing"/>
      <w:lvlText w:val="（%1）"/>
    </w:lvl>
    <w:lvl w:ilvl="1">
      <w:lvlJc w:val="left"/>
      <w:numFmt w:val="decimal"/>
      <w:start w:val="1"/>
      <w:suff w:val="nothing"/>
      <w:lvlText w:val="（%1）"/>
    </w:lvl>
    <w:lvl w:ilvl="2">
      <w:lvlJc w:val="left"/>
      <w:numFmt w:val="decimal"/>
      <w:start w:val="1"/>
      <w:suff w:val="nothing"/>
      <w:lvlText w:val="（%1）"/>
    </w:lvl>
    <w:lvl w:ilvl="3">
      <w:lvlJc w:val="left"/>
      <w:numFmt w:val="decimal"/>
      <w:start w:val="1"/>
      <w:suff w:val="nothing"/>
      <w:lvlText w:val="（%1）"/>
    </w:lvl>
    <w:lvl w:ilvl="4">
      <w:lvlJc w:val="left"/>
      <w:numFmt w:val="decimal"/>
      <w:start w:val="1"/>
      <w:suff w:val="nothing"/>
      <w:lvlText w:val="（%1）"/>
    </w:lvl>
    <w:lvl w:ilvl="5">
      <w:lvlJc w:val="left"/>
      <w:numFmt w:val="decimal"/>
      <w:start w:val="1"/>
      <w:suff w:val="nothing"/>
      <w:lvlText w:val="（%1）"/>
    </w:lvl>
    <w:lvl w:ilvl="6">
      <w:lvlJc w:val="left"/>
      <w:numFmt w:val="decimal"/>
      <w:start w:val="1"/>
      <w:suff w:val="nothing"/>
      <w:lvlText w:val="（%1）"/>
    </w:lvl>
    <w:lvl w:ilvl="7">
      <w:lvlJc w:val="left"/>
      <w:numFmt w:val="decimal"/>
      <w:start w:val="1"/>
      <w:suff w:val="nothing"/>
      <w:lvlText w:val="（%1）"/>
    </w:lvl>
    <w:lvl w:ilvl="8">
      <w:lvlJc w:val="left"/>
      <w:numFmt w:val="decimal"/>
      <w:start w:val="1"/>
      <w:suff w:val="nothing"/>
      <w:lvlText w:val="（%1）"/>
    </w:lvl>
  </w:abstractNum>
  <w:num w:numId="1">
    <w:abstractNumId w:val="1"/>
  </w:num>
  <w:num w:numId="2">
    <w:abstractNumId w:val="0"/>
  </w:num>
  <w:num w:numId="3">
    <w:abstractNumId w:val="2"/>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avePreviewPicture/>
  <w:proofState w:spelling="clean" w:grammar="clean"/>
  <w:defaultTabStop w:val="420"/>
  <w:displayHorizontalDrawingGridEvery w:val="0"/>
  <w:displayVerticalDrawingGridEvery w:val="2"/>
  <w:characterSpacingControl w:val="compressPunctuation"/>
  <w:hdrShapeDefaults>
    <o:shapedefaults v:ext="edit" spidmax="2050"/>
    <o:shapelayout v:ext="edit">
      <o:idmap v:ext="edit" data="1"/>
    </o:shapelayout>
  </w:hdrShapeDefaults>
  <w:compat>
    <w:balanceSingleByteDoubleByteWidth/>
    <w:adjustLineHeightInTable/>
    <w:useFELayout/>
    <w:compatSetting w:name="compatibilityMode" w:uri="http://schemas.microsoft.com/office/word" w:val="14"/>
    <w:ulTrailSpace/>
  </w:compat>
  <m:mathPr>
    <m:mathFont m:value="Cambria Math"/>
    <m:brkBin m:value="before"/>
    <m:brkBinSub m:value="--"/>
    <m:smallFrac m:value="off"/>
    <m:dispDef/>
    <m:lMargin m:value="0"/>
    <m:rMargin m:value="0"/>
    <m:defJc m:value="centerGroup"/>
    <m:wrapIndent m:value="1440"/>
    <m:intLim m:value="subSup"/>
    <m:naryLim m:value="undOvr"/>
  </m:mathPr>
  <w:themeFontLang w:val="en-US" w:eastAsia="ko-KR"/>
  <w:clrSchemeMapping w:bg1="light1" w:t1="dark1" w:bg2="light2" w:t2="dark2" w:accent1="accent1" w:accent2="accent2" w:accent3="accent3" w:accent4="accent4" w:accent5="accent5" w:accent6="accent6" w:hyperlink="hyperlink" w:followedHyperlink="followedHyperlink"/>
  <w:doNotIncludeSubdocsInStats/>
  <w:decimalSymbol w:val="."/>
  <w:listSeparator w:val=","/>
  <w:documentProtection w:formatting="0" w:edit="readOnly" w:enforcement="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w:docDefaults>
    <w:rPrDefault>
      <w:rPr>
        <w:rFonts w:ascii="Times New Roman" w:eastAsia="Times New Roman" w:hAnsi="Times New Roman"/>
        <w:shd w:val="clear"/>
        <w:sz w:val="20"/>
        <w:szCs w:val="20"/>
        <w:w w:val="100"/>
      </w:rPr>
    </w:rPrDefault>
  </w:docDefaults>
  <w:style w:default="1" w:styleId="PO1" w:type="paragraph">
    <w:name w:val="Normal"/>
    <w:qFormat/>
    <w:uiPriority w:val="1"/>
    <w:pPr>
      <w:autoSpaceDE w:val="1"/>
      <w:autoSpaceDN w:val="1"/>
      <w:jc w:val="both"/>
      <w:widowControl/>
      <w:wordWrap/>
    </w:pPr>
    <w:rPr>
      <w:rFonts w:ascii="Calibri" w:eastAsia="宋体" w:hAnsi="Calibri"/>
      <w:shd w:val="clear"/>
      <w:sz w:val="21"/>
      <w:szCs w:val="21"/>
      <w:w w:val="100"/>
    </w:rPr>
  </w:style>
  <w:style w:default="1" w:styleId="PO2" w:type="character">
    <w:name w:val="Default Paragraph Font"/>
    <w:uiPriority w:val="2"/>
    <w:semiHidden/>
    <w:unhideWhenUsed/>
  </w:style>
  <w:style w:default="1" w:styleId="PO3" w:type="table">
    <w:name w:val="Normal Table"/>
    <w:basedOn w:val="PO3"/>
    <w:uiPriority w:val="3"/>
    <w:tblPr>
      <w:tblCellMar>
        <w:bottom w:type="dxa" w:w="0"/>
        <w:left w:type="dxa" w:w="108"/>
        <w:right w:type="dxa" w:w="108"/>
        <w:top w:type="dxa" w:w="0"/>
      </w:tblCellMar>
      <w:tblInd w:type="dxa" w:w="0"/>
    </w:tblPr>
  </w:style>
  <w:style w:default="1" w:styleId="PO4" w:type="numbering">
    <w:name w:val="No List"/>
    <w:uiPriority w:val="4"/>
    <w:semiHidden/>
    <w:unhideWhenUsed/>
  </w:style>
  <w:style w:styleId="PO5" w:type="paragraph">
    <w:name w:val="No Spacing"/>
    <w:link w:val="PO-1"/>
    <w:qFormat/>
    <w:uiPriority w:val="5"/>
    <w:pPr>
      <w:autoSpaceDE w:val="1"/>
      <w:autoSpaceDN w:val="1"/>
      <w:jc w:val="both"/>
      <w:widowControl/>
      <w:wordWrap/>
    </w:pPr>
    <w:rPr>
      <w:shd w:val="clear"/>
      <w:sz w:val="21"/>
      <w:szCs w:val="21"/>
      <w:w w:val="100"/>
    </w:rPr>
  </w:style>
  <w:style w:styleId="PO6" w:type="paragraph">
    <w:name w:val="Title"/>
    <w:link w:val="PO-1"/>
    <w:qFormat/>
    <w:uiPriority w:val="6"/>
    <w:pPr>
      <w:autoSpaceDE w:val="1"/>
      <w:autoSpaceDN w:val="1"/>
      <w:jc w:val="center"/>
      <w:widowControl/>
      <w:wordWrap/>
    </w:pPr>
    <w:rPr>
      <w:b/>
      <w:shd w:val="clear"/>
      <w:sz w:val="32"/>
      <w:szCs w:val="32"/>
      <w:w w:val="100"/>
    </w:rPr>
  </w:style>
  <w:style w:styleId="PO7" w:type="paragraph">
    <w:name w:val="heading 1"/>
    <w:link w:val="PO-1"/>
    <w:qFormat/>
    <w:uiPriority w:val="7"/>
    <w:pPr>
      <w:autoSpaceDE w:val="1"/>
      <w:autoSpaceDN w:val="1"/>
      <w:jc w:val="both"/>
      <w:widowControl/>
      <w:wordWrap/>
    </w:pPr>
    <w:rPr>
      <w:shd w:val="clear"/>
      <w:sz w:val="28"/>
      <w:szCs w:val="28"/>
      <w:w w:val="100"/>
    </w:rPr>
  </w:style>
  <w:style w:styleId="PO8" w:type="paragraph">
    <w:name w:val="heading 2"/>
    <w:link w:val="PO-1"/>
    <w:qFormat/>
    <w:uiPriority w:val="8"/>
    <w:pPr>
      <w:autoSpaceDE w:val="1"/>
      <w:autoSpaceDN w:val="1"/>
      <w:jc w:val="both"/>
      <w:widowControl/>
      <w:wordWrap/>
    </w:pPr>
    <w:rPr>
      <w:shd w:val="clear"/>
      <w:sz w:val="21"/>
      <w:szCs w:val="21"/>
      <w:w w:val="100"/>
    </w:rPr>
  </w:style>
  <w:style w:styleId="PO9" w:type="paragraph">
    <w:name w:val="heading 3"/>
    <w:link w:val="PO-1"/>
    <w:qFormat/>
    <w:uiPriority w:val="9"/>
    <w:pPr>
      <w:autoSpaceDE w:val="1"/>
      <w:autoSpaceDN w:val="1"/>
      <w:ind w:left="1000" w:hanging="400"/>
      <w:jc w:val="both"/>
      <w:widowControl/>
      <w:wordWrap/>
    </w:pPr>
    <w:rPr>
      <w:shd w:val="clear"/>
      <w:sz w:val="21"/>
      <w:szCs w:val="21"/>
      <w:w w:val="100"/>
    </w:rPr>
  </w:style>
  <w:style w:styleId="PO10" w:type="paragraph">
    <w:name w:val="heading 4"/>
    <w:link w:val="PO-1"/>
    <w:qFormat/>
    <w:uiPriority w:val="10"/>
    <w:pPr>
      <w:autoSpaceDE w:val="1"/>
      <w:autoSpaceDN w:val="1"/>
      <w:ind w:left="1200" w:hanging="400"/>
      <w:jc w:val="both"/>
      <w:widowControl/>
      <w:wordWrap/>
    </w:pPr>
    <w:rPr>
      <w:b/>
      <w:shd w:val="clear"/>
      <w:sz w:val="21"/>
      <w:szCs w:val="21"/>
      <w:w w:val="100"/>
    </w:rPr>
  </w:style>
  <w:style w:styleId="PO11" w:type="paragraph">
    <w:name w:val="heading 5"/>
    <w:link w:val="PO-1"/>
    <w:qFormat/>
    <w:uiPriority w:val="11"/>
    <w:pPr>
      <w:autoSpaceDE w:val="1"/>
      <w:autoSpaceDN w:val="1"/>
      <w:ind w:left="1400" w:hanging="400"/>
      <w:jc w:val="both"/>
      <w:widowControl/>
      <w:wordWrap/>
    </w:pPr>
    <w:rPr>
      <w:shd w:val="clear"/>
      <w:sz w:val="21"/>
      <w:szCs w:val="21"/>
      <w:w w:val="100"/>
    </w:rPr>
  </w:style>
  <w:style w:styleId="PO12" w:type="paragraph">
    <w:name w:val="heading 6"/>
    <w:link w:val="PO-1"/>
    <w:qFormat/>
    <w:uiPriority w:val="12"/>
    <w:pPr>
      <w:autoSpaceDE w:val="1"/>
      <w:autoSpaceDN w:val="1"/>
      <w:ind w:left="1600" w:hanging="400"/>
      <w:jc w:val="both"/>
      <w:widowControl/>
      <w:wordWrap/>
    </w:pPr>
    <w:rPr>
      <w:b/>
      <w:shd w:val="clear"/>
      <w:sz w:val="21"/>
      <w:szCs w:val="21"/>
      <w:w w:val="100"/>
    </w:rPr>
  </w:style>
  <w:style w:styleId="PO13" w:type="paragraph">
    <w:name w:val="heading 7"/>
    <w:link w:val="PO-1"/>
    <w:qFormat/>
    <w:uiPriority w:val="13"/>
    <w:pPr>
      <w:autoSpaceDE w:val="1"/>
      <w:autoSpaceDN w:val="1"/>
      <w:ind w:left="1800" w:hanging="400"/>
      <w:jc w:val="both"/>
      <w:widowControl/>
      <w:wordWrap/>
    </w:pPr>
    <w:rPr>
      <w:shd w:val="clear"/>
      <w:sz w:val="21"/>
      <w:szCs w:val="21"/>
      <w:w w:val="100"/>
    </w:rPr>
  </w:style>
  <w:style w:styleId="PO14" w:type="paragraph">
    <w:name w:val="heading 8"/>
    <w:link w:val="PO-1"/>
    <w:qFormat/>
    <w:uiPriority w:val="14"/>
    <w:pPr>
      <w:autoSpaceDE w:val="1"/>
      <w:autoSpaceDN w:val="1"/>
      <w:ind w:left="2000" w:hanging="400"/>
      <w:jc w:val="both"/>
      <w:widowControl/>
      <w:wordWrap/>
    </w:pPr>
    <w:rPr>
      <w:shd w:val="clear"/>
      <w:sz w:val="21"/>
      <w:szCs w:val="21"/>
      <w:w w:val="100"/>
    </w:rPr>
  </w:style>
  <w:style w:styleId="PO15" w:type="paragraph">
    <w:name w:val="heading 9"/>
    <w:link w:val="PO-1"/>
    <w:qFormat/>
    <w:uiPriority w:val="15"/>
    <w:pPr>
      <w:autoSpaceDE w:val="1"/>
      <w:autoSpaceDN w:val="1"/>
      <w:ind w:left="2200" w:hanging="400"/>
      <w:jc w:val="both"/>
      <w:widowControl/>
      <w:wordWrap/>
    </w:pPr>
    <w:rPr>
      <w:shd w:val="clear"/>
      <w:sz w:val="21"/>
      <w:szCs w:val="21"/>
      <w:w w:val="100"/>
    </w:rPr>
  </w:style>
  <w:style w:styleId="PO16" w:type="paragraph">
    <w:name w:val="Subtitle"/>
    <w:link w:val="PO-1"/>
    <w:qFormat/>
    <w:uiPriority w:val="16"/>
    <w:pPr>
      <w:autoSpaceDE w:val="1"/>
      <w:autoSpaceDN w:val="1"/>
      <w:jc w:val="center"/>
      <w:widowControl/>
      <w:wordWrap/>
    </w:pPr>
    <w:rPr>
      <w:shd w:val="clear"/>
      <w:sz w:val="24"/>
      <w:szCs w:val="24"/>
      <w:w w:val="100"/>
    </w:rPr>
  </w:style>
  <w:style w:styleId="PO17" w:type="character">
    <w:name w:val="Subtle Emphasis"/>
    <w:qFormat/>
    <w:uiPriority w:val="17"/>
    <w:rPr>
      <w:color w:val="404040"/>
      <w:i/>
      <w:shd w:val="clear"/>
      <w:sz w:val="21"/>
      <w:szCs w:val="21"/>
      <w:w w:val="100"/>
    </w:rPr>
  </w:style>
  <w:style w:styleId="PO18" w:type="character">
    <w:name w:val="Emphasis"/>
    <w:qFormat/>
    <w:uiPriority w:val="18"/>
    <w:rPr>
      <w:i/>
      <w:shd w:val="clear"/>
      <w:sz w:val="21"/>
      <w:szCs w:val="21"/>
      <w:w w:val="100"/>
    </w:rPr>
  </w:style>
  <w:style w:styleId="PO19" w:type="character">
    <w:name w:val="Intense Emphasis"/>
    <w:qFormat/>
    <w:uiPriority w:val="19"/>
    <w:rPr>
      <w:color w:val="5B9BD5"/>
      <w:i/>
      <w:shd w:val="clear"/>
      <w:sz w:val="21"/>
      <w:szCs w:val="21"/>
      <w:w w:val="100"/>
    </w:rPr>
  </w:style>
  <w:style w:styleId="PO20" w:type="character">
    <w:name w:val="Strong"/>
    <w:qFormat/>
    <w:uiPriority w:val="20"/>
    <w:rPr>
      <w:b/>
      <w:shd w:val="clear"/>
      <w:sz w:val="21"/>
      <w:szCs w:val="21"/>
      <w:w w:val="100"/>
    </w:rPr>
  </w:style>
  <w:style w:styleId="PO21" w:type="paragraph">
    <w:name w:val="Quote"/>
    <w:link w:val="PO-1"/>
    <w:qFormat/>
    <w:uiPriority w:val="21"/>
    <w:pPr>
      <w:autoSpaceDE w:val="1"/>
      <w:autoSpaceDN w:val="1"/>
      <w:ind w:left="864" w:right="864" w:firstLine="0"/>
      <w:jc w:val="center"/>
      <w:widowControl/>
      <w:wordWrap/>
    </w:pPr>
    <w:rPr>
      <w:color w:val="404040"/>
      <w:i/>
      <w:shd w:val="clear"/>
      <w:sz w:val="21"/>
      <w:szCs w:val="21"/>
      <w:w w:val="100"/>
    </w:rPr>
  </w:style>
  <w:style w:styleId="PO22" w:type="paragraph">
    <w:name w:val="Intense Quote"/>
    <w:link w:val="PO-1"/>
    <w:qFormat/>
    <w:uiPriority w:val="22"/>
    <w:pPr>
      <w:autoSpaceDE w:val="1"/>
      <w:autoSpaceDN w:val="1"/>
      <w:ind w:left="950" w:right="950" w:firstLine="0"/>
      <w:jc w:val="center"/>
      <w:widowControl/>
      <w:wordWrap/>
    </w:pPr>
    <w:rPr>
      <w:color w:val="5B9BD5"/>
      <w:i/>
      <w:shd w:val="clear"/>
      <w:sz w:val="21"/>
      <w:szCs w:val="21"/>
      <w:w w:val="100"/>
    </w:rPr>
  </w:style>
  <w:style w:styleId="PO23" w:type="character">
    <w:name w:val="Subtle Reference"/>
    <w:qFormat/>
    <w:uiPriority w:val="23"/>
    <w:rPr>
      <w:color w:val="5A5A5A"/>
      <w:shd w:val="clear"/>
      <w:smallCaps/>
      <w:sz w:val="21"/>
      <w:szCs w:val="21"/>
      <w:w w:val="100"/>
    </w:rPr>
  </w:style>
  <w:style w:styleId="PO24" w:type="character">
    <w:name w:val="Intense Reference"/>
    <w:qFormat/>
    <w:uiPriority w:val="24"/>
    <w:rPr>
      <w:color w:val="5B9BD5"/>
      <w:b/>
      <w:shd w:val="clear"/>
      <w:smallCaps/>
      <w:sz w:val="21"/>
      <w:szCs w:val="21"/>
      <w:w w:val="100"/>
    </w:rPr>
  </w:style>
  <w:style w:styleId="PO25" w:type="character">
    <w:name w:val="Book Title"/>
    <w:qFormat/>
    <w:uiPriority w:val="25"/>
    <w:rPr>
      <w:i/>
      <w:b/>
      <w:shd w:val="clear"/>
      <w:sz w:val="21"/>
      <w:szCs w:val="21"/>
      <w:w w:val="100"/>
    </w:rPr>
  </w:style>
  <w:style w:styleId="PO26" w:type="paragraph">
    <w:name w:val="List Paragraph"/>
    <w:basedOn w:val="PO1"/>
    <w:qFormat/>
    <w:uiPriority w:val="26"/>
    <w:pPr>
      <w:autoSpaceDE w:val="1"/>
      <w:autoSpaceDN w:val="1"/>
      <w:ind w:firstLine="420"/>
      <w:widowControl/>
      <w:wordWrap/>
    </w:pPr>
  </w:style>
  <w:style w:styleId="PO27" w:type="paragraph">
    <w:name w:val="TOC Heading"/>
    <w:link w:val="PO-1"/>
    <w:qFormat/>
    <w:uiPriority w:val="27"/>
    <w:unhideWhenUsed/>
    <w:pPr>
      <w:autoSpaceDE w:val="1"/>
      <w:autoSpaceDN w:val="1"/>
      <w:widowControl/>
      <w:wordWrap/>
    </w:pPr>
    <w:rPr>
      <w:color w:val="2E74B5"/>
      <w:shd w:val="clear"/>
      <w:sz w:val="32"/>
      <w:szCs w:val="32"/>
      <w:w w:val="100"/>
    </w:rPr>
  </w:style>
  <w:style w:styleId="PO28" w:type="paragraph">
    <w:name w:val="toc 1"/>
    <w:link w:val="PO-1"/>
    <w:qFormat/>
    <w:uiPriority w:val="28"/>
    <w:unhideWhenUsed/>
    <w:pPr>
      <w:autoSpaceDE w:val="1"/>
      <w:autoSpaceDN w:val="1"/>
      <w:jc w:val="both"/>
      <w:widowControl/>
      <w:wordWrap/>
    </w:pPr>
    <w:rPr>
      <w:shd w:val="clear"/>
      <w:sz w:val="21"/>
      <w:szCs w:val="21"/>
      <w:w w:val="100"/>
    </w:rPr>
  </w:style>
  <w:style w:styleId="PO29" w:type="paragraph">
    <w:name w:val="toc 2"/>
    <w:link w:val="PO-1"/>
    <w:qFormat/>
    <w:uiPriority w:val="29"/>
    <w:unhideWhenUsed/>
    <w:pPr>
      <w:autoSpaceDE w:val="1"/>
      <w:autoSpaceDN w:val="1"/>
      <w:ind w:left="425" w:firstLine="0"/>
      <w:jc w:val="both"/>
      <w:widowControl/>
      <w:wordWrap/>
    </w:pPr>
    <w:rPr>
      <w:shd w:val="clear"/>
      <w:sz w:val="21"/>
      <w:szCs w:val="21"/>
      <w:w w:val="100"/>
    </w:rPr>
  </w:style>
  <w:style w:styleId="PO30" w:type="paragraph">
    <w:name w:val="toc 3"/>
    <w:link w:val="PO-1"/>
    <w:qFormat/>
    <w:uiPriority w:val="30"/>
    <w:unhideWhenUsed/>
    <w:pPr>
      <w:autoSpaceDE w:val="1"/>
      <w:autoSpaceDN w:val="1"/>
      <w:ind w:left="850" w:firstLine="0"/>
      <w:jc w:val="both"/>
      <w:widowControl/>
      <w:wordWrap/>
    </w:pPr>
    <w:rPr>
      <w:shd w:val="clear"/>
      <w:sz w:val="21"/>
      <w:szCs w:val="21"/>
      <w:w w:val="100"/>
    </w:rPr>
  </w:style>
  <w:style w:styleId="PO31" w:type="paragraph">
    <w:name w:val="toc 4"/>
    <w:link w:val="PO-1"/>
    <w:qFormat/>
    <w:uiPriority w:val="31"/>
    <w:unhideWhenUsed/>
    <w:pPr>
      <w:autoSpaceDE w:val="1"/>
      <w:autoSpaceDN w:val="1"/>
      <w:ind w:left="1275" w:firstLine="0"/>
      <w:jc w:val="both"/>
      <w:widowControl/>
      <w:wordWrap/>
    </w:pPr>
    <w:rPr>
      <w:shd w:val="clear"/>
      <w:sz w:val="21"/>
      <w:szCs w:val="21"/>
      <w:w w:val="100"/>
    </w:rPr>
  </w:style>
  <w:style w:styleId="PO32" w:type="paragraph">
    <w:name w:val="toc 5"/>
    <w:link w:val="PO-1"/>
    <w:qFormat/>
    <w:uiPriority w:val="32"/>
    <w:unhideWhenUsed/>
    <w:pPr>
      <w:autoSpaceDE w:val="1"/>
      <w:autoSpaceDN w:val="1"/>
      <w:ind w:left="1700" w:firstLine="0"/>
      <w:jc w:val="both"/>
      <w:widowControl/>
      <w:wordWrap/>
    </w:pPr>
    <w:rPr>
      <w:shd w:val="clear"/>
      <w:sz w:val="21"/>
      <w:szCs w:val="21"/>
      <w:w w:val="100"/>
    </w:rPr>
  </w:style>
  <w:style w:styleId="PO33" w:type="paragraph">
    <w:name w:val="toc 6"/>
    <w:link w:val="PO-1"/>
    <w:qFormat/>
    <w:uiPriority w:val="33"/>
    <w:unhideWhenUsed/>
    <w:pPr>
      <w:autoSpaceDE w:val="1"/>
      <w:autoSpaceDN w:val="1"/>
      <w:ind w:left="2125" w:firstLine="0"/>
      <w:jc w:val="both"/>
      <w:widowControl/>
      <w:wordWrap/>
    </w:pPr>
    <w:rPr>
      <w:shd w:val="clear"/>
      <w:sz w:val="21"/>
      <w:szCs w:val="21"/>
      <w:w w:val="100"/>
    </w:rPr>
  </w:style>
  <w:style w:styleId="PO34" w:type="paragraph">
    <w:name w:val="toc 7"/>
    <w:link w:val="PO-1"/>
    <w:qFormat/>
    <w:uiPriority w:val="34"/>
    <w:unhideWhenUsed/>
    <w:pPr>
      <w:autoSpaceDE w:val="1"/>
      <w:autoSpaceDN w:val="1"/>
      <w:ind w:left="2550" w:firstLine="0"/>
      <w:jc w:val="both"/>
      <w:widowControl/>
      <w:wordWrap/>
    </w:pPr>
    <w:rPr>
      <w:shd w:val="clear"/>
      <w:sz w:val="21"/>
      <w:szCs w:val="21"/>
      <w:w w:val="100"/>
    </w:rPr>
  </w:style>
  <w:style w:styleId="PO35" w:type="paragraph">
    <w:name w:val="toc 8"/>
    <w:link w:val="PO-1"/>
    <w:qFormat/>
    <w:uiPriority w:val="35"/>
    <w:unhideWhenUsed/>
    <w:pPr>
      <w:autoSpaceDE w:val="1"/>
      <w:autoSpaceDN w:val="1"/>
      <w:ind w:left="2975" w:firstLine="0"/>
      <w:jc w:val="both"/>
      <w:widowControl/>
      <w:wordWrap/>
    </w:pPr>
    <w:rPr>
      <w:shd w:val="clear"/>
      <w:sz w:val="21"/>
      <w:szCs w:val="21"/>
      <w:w w:val="100"/>
    </w:rPr>
  </w:style>
  <w:style w:styleId="PO36" w:type="paragraph">
    <w:name w:val="toc 9"/>
    <w:link w:val="PO-1"/>
    <w:qFormat/>
    <w:uiPriority w:val="36"/>
    <w:unhideWhenUsed/>
    <w:pPr>
      <w:autoSpaceDE w:val="1"/>
      <w:autoSpaceDN w:val="1"/>
      <w:ind w:left="3400" w:firstLine="0"/>
      <w:jc w:val="both"/>
      <w:widowControl/>
      <w:wordWrap/>
    </w:pPr>
    <w:rPr>
      <w:shd w:val="clear"/>
      <w:sz w:val="21"/>
      <w:szCs w:val="21"/>
      <w:w w:val="100"/>
    </w:rPr>
  </w:style>
  <w:style w:default="1" w:styleId="PO37" w:type="table">
    <w:name w:val="Normal Table"/>
    <w:basedOn w:val="PO3"/>
    <w:uiPriority w:val="37"/>
    <w:tblPr>
      <w:tblCellMar>
        <w:bottom w:type="dxa" w:w="0"/>
        <w:left w:type="dxa" w:w="108"/>
        <w:right w:type="dxa" w:w="108"/>
        <w:top w:type="dxa" w:w="0"/>
      </w:tblCellMar>
      <w:tblInd w:type="dxa" w:w="0"/>
    </w:tblPr>
  </w:style>
  <w:style w:styleId="PO152" w:type="paragraph">
    <w:name w:val="Balloon Text"/>
    <w:basedOn w:val="PO1"/>
    <w:link w:val="PO157"/>
    <w:qFormat/>
    <w:uiPriority w:val="152"/>
    <w:rPr>
      <w:shd w:val="clear"/>
      <w:sz w:val="18"/>
      <w:szCs w:val="18"/>
      <w:w w:val="100"/>
    </w:rPr>
  </w:style>
  <w:style w:styleId="PO153" w:type="paragraph">
    <w:name w:val="footer"/>
    <w:basedOn w:val="PO1"/>
    <w:qFormat/>
    <w:uiPriority w:val="153"/>
    <w:pPr>
      <w:autoSpaceDE w:val="1"/>
      <w:autoSpaceDN w:val="1"/>
      <w:tabs>
        <w:tab w:val="center" w:pos="4153"/>
        <w:tab w:val="right" w:pos="8306"/>
      </w:tabs>
      <w:widowControl/>
      <w:wordWrap/>
    </w:pPr>
    <w:rPr>
      <w:shd w:val="clear"/>
      <w:sz w:val="18"/>
      <w:szCs w:val="18"/>
      <w:w w:val="100"/>
    </w:rPr>
  </w:style>
  <w:style w:styleId="PO154" w:type="paragraph">
    <w:name w:val="header"/>
    <w:basedOn w:val="PO1"/>
    <w:qFormat/>
    <w:uiPriority w:val="154"/>
    <w:pPr>
      <w:autoSpaceDE w:val="1"/>
      <w:autoSpaceDN w:val="1"/>
      <w:tabs>
        <w:tab w:val="center" w:pos="4153"/>
        <w:tab w:val="right" w:pos="8306"/>
      </w:tabs>
      <w:widowControl/>
      <w:wordWrap/>
    </w:pPr>
    <w:rPr>
      <w:shd w:val="clear"/>
      <w:sz w:val="18"/>
      <w:szCs w:val="18"/>
      <w:w w:val="100"/>
    </w:rPr>
  </w:style>
  <w:style w:styleId="PO155" w:type="character">
    <w:name w:val="page number"/>
    <w:basedOn w:val="PO2"/>
    <w:qFormat/>
    <w:uiPriority w:val="155"/>
  </w:style>
  <w:style w:customStyle="1" w:styleId="PO156" w:type="paragraph">
    <w:name w:val="Default"/>
    <w:qFormat/>
    <w:uiPriority w:val="156"/>
    <w:pPr>
      <w:autoSpaceDE w:val="0"/>
      <w:autoSpaceDN w:val="0"/>
      <w:widowControl/>
      <w:wordWrap/>
    </w:pPr>
    <w:rPr>
      <w:color w:val="000000"/>
      <w:rFonts w:ascii="宋体" w:eastAsia="宋体" w:hAnsi="宋体"/>
      <w:shd w:val="clear"/>
      <w:sz w:val="24"/>
      <w:szCs w:val="24"/>
      <w:w w:val="100"/>
    </w:rPr>
  </w:style>
  <w:style w:customStyle="1" w:styleId="PO157" w:type="character">
    <w:name w:val="批注框文本 字符"/>
    <w:basedOn w:val="PO2"/>
    <w:link w:val="PO152"/>
    <w:qFormat/>
    <w:uiPriority w:val="157"/>
    <w:rPr>
      <w:shd w:val="clear"/>
      <w:sz w:val="18"/>
      <w:szCs w:val="18"/>
      <w:w w:val="10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Relationships xmlns="http://schemas.openxmlformats.org/package/2006/relationships"><Relationship Id="rId1" Type="http://schemas.openxmlformats.org/officeDocument/2006/relationships/webSettings" Target="webSettings.xml"></Relationship><Relationship Id="rId2" Type="http://schemas.openxmlformats.org/officeDocument/2006/relationships/fontTable" Target="fontTable.xml"></Relationship><Relationship Id="rId3" Type="http://schemas.openxmlformats.org/officeDocument/2006/relationships/settings" Target="settings.xml"></Relationship><Relationship Id="rId4" Type="http://schemas.openxmlformats.org/officeDocument/2006/relationships/styles" Target="styles.xml"></Relationship><Relationship Id="rId5" Type="http://schemas.openxmlformats.org/officeDocument/2006/relationships/header" Target="header2.xml"></Relationship><Relationship Id="rId6" Type="http://schemas.openxmlformats.org/officeDocument/2006/relationships/header" Target="header3.xml"></Relationship><Relationship Id="rId7" Type="http://schemas.openxmlformats.org/officeDocument/2006/relationships/footer" Target="footer5.xml"></Relationship><Relationship Id="rId8" Type="http://schemas.openxmlformats.org/officeDocument/2006/relationships/footer" Target="footer6.xml"></Relationship><Relationship Id="rId9" Type="http://schemas.openxmlformats.org/officeDocument/2006/relationships/header" Target="header4.xml"></Relationship><Relationship Id="rId10" Type="http://schemas.openxmlformats.org/officeDocument/2006/relationships/footer" Target="footer7.xml"></Relationship><Relationship Id="rId11" Type="http://schemas.openxmlformats.org/officeDocument/2006/relationships/footer" Target="footer20.xml"></Relationship><Relationship Id="rId12" Type="http://schemas.openxmlformats.org/officeDocument/2006/relationships/footer" Target="footer21.xml"></Relationship><Relationship Id="rId13" Type="http://schemas.openxmlformats.org/officeDocument/2006/relationships/numbering" Target="numbering.xml"></Relationship><Relationship Id="rId14" Type="http://schemas.openxmlformats.org/officeDocument/2006/relationships/theme" Target="theme/theme1.xml"></Relationship></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Application>JisuOffice Write</Application>
  <AppVersion>12.000</AppVersion>
  <Characters>0</Characters>
  <CharactersWithSpaces>0</CharactersWithSpaces>
  <DocSecurity>0</DocSecurity>
  <HyperlinksChanged>false</HyperlinksChanged>
  <Lines>128</Lines>
  <LinksUpToDate>false</LinksUpToDate>
  <Pages>13</Pages>
  <Paragraphs>36</Paragraphs>
  <Words>2698</Words>
  <TotalTime>0</TotalTime>
  <MMClips>0</MMClips>
  <ScaleCrop>false</ScaleCrop>
  <HeadingPairs>
    <vt:vector size="2" baseType="variant">
      <vt:variant>
        <vt:lpstr>제목</vt:lpstr>
      </vt:variant>
      <vt:variant>
        <vt:i4>1</vt:i4>
      </vt:variant>
    </vt:vector>
  </HeadingPairs>
  <TitlesOfParts>
    <vt:vector size="1" baseType="lpstr">
      <vt:lpstr>Title text</vt:lpstr>
    </vt:vector>
  </TitlesOfParts>
  <SharedDoc>false</SharedDoc>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revision>3</cp:revision>
  <dc:creator>李海英</dc:creator>
  <cp:lastModifiedBy/>
  <dcterms:modified xsi:type="dcterms:W3CDTF">2019-08-08T07:54:03Z</dcterms:modified>
</cp:coreProperties>
</file>